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67DD665B" w:rsidR="00F862D6" w:rsidRPr="001A6F12" w:rsidRDefault="006007BE" w:rsidP="0037111D">
            <w:pPr>
              <w:rPr>
                <w:szCs w:val="14"/>
              </w:rPr>
            </w:pPr>
            <w:r>
              <w:rPr>
                <w:szCs w:val="14"/>
              </w:rPr>
              <w:t>14398</w:t>
            </w:r>
            <w:r w:rsidR="00B841EE">
              <w:rPr>
                <w:szCs w:val="14"/>
              </w:rPr>
              <w:t>/</w:t>
            </w:r>
            <w:r>
              <w:rPr>
                <w:szCs w:val="14"/>
              </w:rPr>
              <w:t>2</w:t>
            </w:r>
            <w:r w:rsidR="00B841EE">
              <w:rPr>
                <w:szCs w:val="14"/>
              </w:rPr>
              <w:t>0</w:t>
            </w:r>
            <w:r>
              <w:rPr>
                <w:szCs w:val="14"/>
              </w:rPr>
              <w:t>24</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3359DDE" w:rsidR="00F862D6" w:rsidRPr="001A6F12" w:rsidRDefault="004B2C6F"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0FD8343E" w:rsidR="00F862D6" w:rsidRPr="001A6F12" w:rsidRDefault="00306259"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012702C2" w:rsidR="009A7568" w:rsidRPr="001A6F12" w:rsidRDefault="000A2CE0"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E3F1C22" w:rsidR="009A7568" w:rsidRPr="001A6F12" w:rsidRDefault="000A2CE0"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091A57C8" w:rsidR="009A7568" w:rsidRPr="001A6F12" w:rsidRDefault="000A2CE0" w:rsidP="009A7568">
            <w:pPr>
              <w:rPr>
                <w:szCs w:val="14"/>
              </w:rPr>
            </w:pPr>
            <w:r>
              <w:rPr>
                <w:szCs w:val="14"/>
              </w:rPr>
              <w:t>1</w:t>
            </w:r>
            <w:r w:rsidR="002465F4">
              <w:rPr>
                <w:szCs w:val="14"/>
              </w:rPr>
              <w:t>9</w:t>
            </w:r>
            <w:r>
              <w:rPr>
                <w:szCs w:val="14"/>
              </w:rPr>
              <w:t>. 12. 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7C712D93" w:rsidR="00F01FED" w:rsidRPr="00306259" w:rsidRDefault="00306259" w:rsidP="00F01FED">
      <w:pPr>
        <w:widowControl w:val="0"/>
        <w:autoSpaceDE w:val="0"/>
        <w:autoSpaceDN w:val="0"/>
        <w:spacing w:after="0" w:line="240" w:lineRule="auto"/>
        <w:rPr>
          <w:rFonts w:eastAsia="Times New Roman" w:cs="Times New Roman"/>
          <w:b/>
          <w:bCs/>
          <w:i/>
          <w:lang w:eastAsia="cs-CZ"/>
        </w:rPr>
      </w:pPr>
      <w:r w:rsidRPr="00306259">
        <w:rPr>
          <w:rFonts w:eastAsia="Times New Roman" w:cs="Times New Roman"/>
          <w:b/>
          <w:bCs/>
          <w:i/>
          <w:lang w:eastAsia="cs-CZ"/>
        </w:rPr>
        <w:t>Výkon občasného odborného geotechnického dozoru 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081B533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06259">
        <w:rPr>
          <w:rFonts w:eastAsia="Times New Roman" w:cs="Times New Roman"/>
          <w:b/>
          <w:lang w:eastAsia="cs-CZ"/>
        </w:rPr>
        <w:t>Modernizace železničního uzlu Česká Třebová</w:t>
      </w:r>
      <w:r w:rsidRPr="00FC44E6">
        <w:rPr>
          <w:rFonts w:eastAsia="Times New Roman" w:cs="Times New Roman"/>
          <w:b/>
          <w:lang w:eastAsia="cs-CZ"/>
        </w:rPr>
        <w:t>“</w:t>
      </w:r>
    </w:p>
    <w:p w14:paraId="46A58EA3" w14:textId="7BD7B05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F328FD" w:rsidRPr="00A030E3">
        <w:rPr>
          <w:rFonts w:eastAsia="Times New Roman" w:cs="Times New Roman"/>
          <w:lang w:eastAsia="cs-CZ"/>
        </w:rPr>
        <w:t>61724234</w:t>
      </w:r>
      <w:r w:rsidRPr="00FC44E6">
        <w:rPr>
          <w:rFonts w:eastAsia="Times New Roman" w:cs="Times New Roman"/>
          <w:lang w:eastAsia="cs-CZ"/>
        </w:rPr>
        <w:t>)</w:t>
      </w:r>
    </w:p>
    <w:p w14:paraId="35E979D8" w14:textId="00FC83C9"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0B22D407" w14:textId="0752726D" w:rsidR="00911A4E" w:rsidRPr="000A71D4" w:rsidRDefault="00911A4E" w:rsidP="000A71D4">
      <w:pPr>
        <w:spacing w:after="0" w:line="240" w:lineRule="auto"/>
        <w:ind w:right="23"/>
        <w:jc w:val="both"/>
        <w:rPr>
          <w:i/>
        </w:rPr>
      </w:pPr>
      <w:r w:rsidRPr="000A71D4">
        <w:rPr>
          <w:rFonts w:eastAsia="Times New Roman" w:cs="Times New Roman"/>
          <w:i/>
          <w:lang w:eastAsia="cs-CZ"/>
        </w:rPr>
        <w:t xml:space="preserve">U této zakázky se předpokládá, že bude </w:t>
      </w:r>
      <w:r w:rsidRPr="000A71D4">
        <w:rPr>
          <w:rFonts w:eastAsia="Times New Roman" w:cs="Times New Roman"/>
          <w:i/>
          <w:iCs/>
          <w:lang w:eastAsia="cs-CZ"/>
        </w:rPr>
        <w:t>financována</w:t>
      </w:r>
      <w:r w:rsidRPr="000A71D4">
        <w:rPr>
          <w:rFonts w:eastAsia="Times New Roman" w:cs="Times New Roman"/>
          <w:i/>
          <w:lang w:eastAsia="cs-CZ"/>
        </w:rPr>
        <w:t xml:space="preserve"> z prostředků Státního fondu dopravní infrastruktury</w:t>
      </w:r>
      <w:r w:rsidR="000A71D4">
        <w:rPr>
          <w:i/>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D50E782" w14:textId="77777777" w:rsidR="000C0877" w:rsidRDefault="000C0877" w:rsidP="00FC44E6">
      <w:pPr>
        <w:spacing w:after="0" w:line="240" w:lineRule="auto"/>
        <w:ind w:left="426"/>
        <w:jc w:val="both"/>
        <w:rPr>
          <w:rFonts w:eastAsia="Times New Roman" w:cs="Times New Roman"/>
          <w:lang w:eastAsia="cs-CZ"/>
        </w:rPr>
      </w:pPr>
    </w:p>
    <w:p w14:paraId="2ED221A0" w14:textId="77777777" w:rsidR="006007BE" w:rsidRPr="00FC44E6" w:rsidRDefault="006007BE"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32250E8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06259">
        <w:rPr>
          <w:rFonts w:eastAsia="Times New Roman" w:cs="Times New Roman"/>
          <w:lang w:eastAsia="cs-CZ"/>
        </w:rPr>
        <w:t>Ing. Jaromír Souček</w:t>
      </w:r>
      <w:r w:rsidRPr="00FC44E6">
        <w:rPr>
          <w:rFonts w:eastAsia="Times New Roman" w:cs="Times New Roman"/>
          <w:lang w:eastAsia="cs-CZ"/>
        </w:rPr>
        <w:t>, telefon:</w:t>
      </w:r>
      <w:r w:rsidR="00306259">
        <w:rPr>
          <w:rFonts w:eastAsia="Times New Roman" w:cs="Times New Roman"/>
          <w:lang w:eastAsia="cs-CZ"/>
        </w:rPr>
        <w:t xml:space="preserve"> +420 724 932 283</w:t>
      </w:r>
      <w:r w:rsidRPr="00FC44E6">
        <w:rPr>
          <w:rFonts w:eastAsia="Times New Roman" w:cs="Times New Roman"/>
          <w:lang w:eastAsia="cs-CZ"/>
        </w:rPr>
        <w:t>, e-mail:</w:t>
      </w:r>
      <w:r w:rsidR="00306259">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196BC036" w:rsidR="007B3917" w:rsidRDefault="00F01FED" w:rsidP="000A2CE0">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108C4C39"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306259" w:rsidRPr="00306259">
        <w:rPr>
          <w:rFonts w:eastAsia="Times New Roman" w:cs="Times New Roman"/>
          <w:b/>
          <w:bCs/>
          <w:lang w:eastAsia="cs-CZ"/>
        </w:rPr>
        <w:t>8 400 000</w:t>
      </w:r>
      <w:r w:rsidR="00306259">
        <w:rPr>
          <w:rFonts w:eastAsia="Times New Roman" w:cs="Times New Roman"/>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0DC54843" w14:textId="2BA37B7C" w:rsidR="00306259" w:rsidRPr="00523F53" w:rsidRDefault="00F71D74" w:rsidP="000A2CE0">
      <w:pPr>
        <w:spacing w:before="120" w:line="276" w:lineRule="auto"/>
        <w:ind w:left="425"/>
        <w:rPr>
          <w:rFonts w:cs="Arial"/>
        </w:rPr>
      </w:pPr>
      <w:r w:rsidRPr="00FC44E6">
        <w:rPr>
          <w:rFonts w:eastAsia="Times New Roman" w:cs="Times New Roman"/>
          <w:b/>
          <w:lang w:eastAsia="cs-CZ"/>
        </w:rPr>
        <w:t>Předmětem VZ je</w:t>
      </w:r>
      <w:r w:rsidR="00306259">
        <w:rPr>
          <w:rFonts w:eastAsia="Times New Roman" w:cs="Times New Roman"/>
          <w:b/>
          <w:lang w:eastAsia="cs-CZ"/>
        </w:rPr>
        <w:t xml:space="preserve"> </w:t>
      </w:r>
      <w:r w:rsidR="00306259" w:rsidRPr="00523F53">
        <w:rPr>
          <w:rFonts w:cs="Arial"/>
        </w:rPr>
        <w:t>výkon občasného odborného geotechnického dozoru na stavbě. Činnost geotechnického dozoru zahrnuje odborný dozor při:</w:t>
      </w:r>
    </w:p>
    <w:p w14:paraId="6471D960" w14:textId="77777777" w:rsidR="00306259" w:rsidRPr="00523F53" w:rsidRDefault="00306259" w:rsidP="00306259">
      <w:pPr>
        <w:numPr>
          <w:ilvl w:val="0"/>
          <w:numId w:val="41"/>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7EAD2A10" w14:textId="77777777" w:rsidR="00306259" w:rsidRPr="00523F53" w:rsidRDefault="00306259" w:rsidP="00306259">
      <w:pPr>
        <w:numPr>
          <w:ilvl w:val="0"/>
          <w:numId w:val="41"/>
        </w:numPr>
        <w:autoSpaceDN w:val="0"/>
        <w:spacing w:after="0" w:line="276" w:lineRule="auto"/>
        <w:rPr>
          <w:rFonts w:cs="Arial"/>
        </w:rPr>
      </w:pPr>
      <w:r w:rsidRPr="00523F53">
        <w:rPr>
          <w:rFonts w:cs="Arial"/>
        </w:rPr>
        <w:t>zřizování konstrukčních vrstev</w:t>
      </w:r>
      <w:r w:rsidRPr="00523F53">
        <w:rPr>
          <w:rFonts w:cs="Arial"/>
        </w:rPr>
        <w:tab/>
      </w:r>
    </w:p>
    <w:p w14:paraId="5433A11F" w14:textId="77777777" w:rsidR="00306259" w:rsidRPr="00523F53" w:rsidRDefault="00306259" w:rsidP="00306259">
      <w:pPr>
        <w:numPr>
          <w:ilvl w:val="0"/>
          <w:numId w:val="41"/>
        </w:numPr>
        <w:autoSpaceDN w:val="0"/>
        <w:spacing w:after="0" w:line="276" w:lineRule="auto"/>
        <w:rPr>
          <w:rFonts w:cs="Arial"/>
        </w:rPr>
      </w:pPr>
      <w:r>
        <w:rPr>
          <w:rFonts w:cs="Arial"/>
        </w:rPr>
        <w:t>provádění kolejového lože</w:t>
      </w:r>
    </w:p>
    <w:p w14:paraId="5BB8FF19" w14:textId="77777777" w:rsidR="00306259" w:rsidRPr="00523F53" w:rsidRDefault="00306259" w:rsidP="00306259">
      <w:pPr>
        <w:numPr>
          <w:ilvl w:val="0"/>
          <w:numId w:val="41"/>
        </w:numPr>
        <w:autoSpaceDN w:val="0"/>
        <w:spacing w:after="0" w:line="276" w:lineRule="auto"/>
        <w:rPr>
          <w:rFonts w:cs="Arial"/>
        </w:rPr>
      </w:pPr>
      <w:r w:rsidRPr="00523F53">
        <w:rPr>
          <w:rFonts w:cs="Arial"/>
        </w:rPr>
        <w:t>finálních úprav</w:t>
      </w:r>
      <w:r>
        <w:rPr>
          <w:rFonts w:cs="Arial"/>
        </w:rPr>
        <w:t>ách tvaru železničního tělesa</w:t>
      </w:r>
    </w:p>
    <w:p w14:paraId="631F3DF1" w14:textId="77777777" w:rsidR="00306259" w:rsidRPr="00523F53" w:rsidRDefault="00306259" w:rsidP="00306259">
      <w:pPr>
        <w:numPr>
          <w:ilvl w:val="0"/>
          <w:numId w:val="41"/>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40983AEA" w14:textId="77777777" w:rsidR="00306259" w:rsidRDefault="00306259" w:rsidP="00306259">
      <w:pPr>
        <w:numPr>
          <w:ilvl w:val="0"/>
          <w:numId w:val="41"/>
        </w:numPr>
        <w:autoSpaceDN w:val="0"/>
        <w:spacing w:after="0" w:line="276" w:lineRule="auto"/>
        <w:rPr>
          <w:rFonts w:cs="Arial"/>
        </w:rPr>
      </w:pPr>
      <w:r>
        <w:rPr>
          <w:rFonts w:cs="Arial"/>
        </w:rPr>
        <w:t>zřizování odvodnění</w:t>
      </w:r>
    </w:p>
    <w:p w14:paraId="2B190038" w14:textId="77777777" w:rsidR="00306259" w:rsidRDefault="00306259" w:rsidP="00306259">
      <w:pPr>
        <w:numPr>
          <w:ilvl w:val="0"/>
          <w:numId w:val="41"/>
        </w:numPr>
        <w:autoSpaceDN w:val="0"/>
        <w:spacing w:after="0" w:line="276" w:lineRule="auto"/>
        <w:rPr>
          <w:rFonts w:cs="Arial"/>
        </w:rPr>
      </w:pPr>
      <w:r w:rsidRPr="00F5786B">
        <w:rPr>
          <w:rFonts w:cs="Arial"/>
        </w:rPr>
        <w:t>zakládání umělých staveb</w:t>
      </w:r>
    </w:p>
    <w:p w14:paraId="792A3CAE" w14:textId="77777777" w:rsidR="00306259" w:rsidRPr="00523F53" w:rsidRDefault="00306259" w:rsidP="00306259">
      <w:pPr>
        <w:numPr>
          <w:ilvl w:val="0"/>
          <w:numId w:val="41"/>
        </w:numPr>
        <w:autoSpaceDN w:val="0"/>
        <w:spacing w:after="0" w:line="276" w:lineRule="auto"/>
        <w:rPr>
          <w:rFonts w:cs="Arial"/>
        </w:rPr>
      </w:pPr>
      <w:r w:rsidRPr="00F5786B">
        <w:rPr>
          <w:rFonts w:cs="Arial"/>
        </w:rPr>
        <w:t>vyhodnocení prováděného monitoringu</w:t>
      </w:r>
    </w:p>
    <w:p w14:paraId="6466E555" w14:textId="77777777" w:rsidR="00306259" w:rsidRPr="00523F53" w:rsidRDefault="00306259" w:rsidP="00306259">
      <w:pPr>
        <w:numPr>
          <w:ilvl w:val="0"/>
          <w:numId w:val="41"/>
        </w:numPr>
        <w:autoSpaceDN w:val="0"/>
        <w:spacing w:after="0" w:line="276" w:lineRule="auto"/>
        <w:rPr>
          <w:rFonts w:cs="Arial"/>
        </w:rPr>
      </w:pPr>
      <w:r w:rsidRPr="00523F53">
        <w:rPr>
          <w:rFonts w:cs="Arial"/>
        </w:rPr>
        <w:t>provádění kontrolních zkoušek dle požadavků objednatele</w:t>
      </w:r>
    </w:p>
    <w:p w14:paraId="5A78CD1D" w14:textId="77777777" w:rsidR="00306259" w:rsidRDefault="00306259" w:rsidP="00306259">
      <w:pPr>
        <w:numPr>
          <w:ilvl w:val="0"/>
          <w:numId w:val="41"/>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0A049D15" w14:textId="77777777" w:rsidR="00306259" w:rsidRDefault="00306259" w:rsidP="00F71D74">
      <w:pPr>
        <w:spacing w:after="0" w:line="240" w:lineRule="auto"/>
        <w:ind w:left="426"/>
        <w:jc w:val="both"/>
        <w:rPr>
          <w:rFonts w:eastAsia="Times New Roman" w:cs="Times New Roman"/>
          <w:b/>
          <w:lang w:eastAsia="cs-CZ"/>
        </w:rPr>
      </w:pPr>
    </w:p>
    <w:p w14:paraId="5F31CDF3" w14:textId="77777777" w:rsidR="00306259" w:rsidRPr="001B6D26" w:rsidRDefault="00306259" w:rsidP="00306259">
      <w:pPr>
        <w:pStyle w:val="Zkladntext2"/>
        <w:spacing w:line="240" w:lineRule="auto"/>
        <w:rPr>
          <w:rFonts w:cs="Arial"/>
        </w:rPr>
      </w:pPr>
      <w:r w:rsidRPr="001B6D26">
        <w:rPr>
          <w:rFonts w:cs="Arial"/>
        </w:rPr>
        <w:t>Geotechnický dozor bude vykonáván občasně na vyzvání odpovědného pracovníka objednatele.</w:t>
      </w:r>
    </w:p>
    <w:p w14:paraId="14B6D087" w14:textId="77777777" w:rsidR="00306259" w:rsidRPr="001B6D26" w:rsidRDefault="00306259" w:rsidP="00306259">
      <w:pPr>
        <w:pStyle w:val="Default"/>
        <w:rPr>
          <w:rFonts w:asciiTheme="minorHAnsi" w:hAnsiTheme="minorHAnsi"/>
          <w:sz w:val="18"/>
          <w:szCs w:val="18"/>
        </w:rPr>
      </w:pPr>
      <w:r w:rsidRPr="001B6D26">
        <w:rPr>
          <w:rFonts w:asciiTheme="minorHAnsi" w:hAnsiTheme="minorHAnsi"/>
          <w:color w:val="auto"/>
          <w:sz w:val="18"/>
          <w:szCs w:val="18"/>
        </w:rPr>
        <w:t xml:space="preserve">Geotechnický dozor bude prováděn v rozsahu provádění stavby </w:t>
      </w:r>
      <w:r w:rsidRPr="001B6D26">
        <w:rPr>
          <w:rFonts w:asciiTheme="minorHAnsi" w:hAnsiTheme="minorHAnsi"/>
          <w:b/>
          <w:bCs/>
          <w:color w:val="auto"/>
          <w:sz w:val="18"/>
          <w:szCs w:val="18"/>
        </w:rPr>
        <w:t>„</w:t>
      </w:r>
      <w:r w:rsidRPr="001B6D26">
        <w:rPr>
          <w:rStyle w:val="Nadpisvtabulce"/>
          <w:rFonts w:asciiTheme="minorHAnsi" w:hAnsiTheme="minorHAnsi"/>
          <w:szCs w:val="18"/>
        </w:rPr>
        <w:t>Modernizace železničního uzlu Česká Třebová</w:t>
      </w:r>
      <w:r w:rsidRPr="001B6D26">
        <w:rPr>
          <w:rFonts w:asciiTheme="minorHAnsi" w:hAnsiTheme="minorHAnsi"/>
          <w:b/>
          <w:bCs/>
          <w:color w:val="auto"/>
          <w:sz w:val="18"/>
          <w:szCs w:val="18"/>
        </w:rPr>
        <w:t xml:space="preserve">“ </w:t>
      </w:r>
      <w:r w:rsidRPr="001B6D26">
        <w:rPr>
          <w:rFonts w:asciiTheme="minorHAnsi" w:hAnsiTheme="minorHAnsi"/>
          <w:sz w:val="18"/>
          <w:szCs w:val="18"/>
        </w:rPr>
        <w:t xml:space="preserve">Rámcový rozsah činností geotechnického dozoru: </w:t>
      </w:r>
    </w:p>
    <w:p w14:paraId="446A7813"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geotechnický a stavební dozor při realizaci všech zemních prací na stavbě, prací zakládání mostů</w:t>
      </w:r>
    </w:p>
    <w:p w14:paraId="438D511C"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 xml:space="preserve">konzultace a poradenství v oboru klasické geotechniky a speciálního zakládání staveb </w:t>
      </w:r>
    </w:p>
    <w:p w14:paraId="1F6D81B4"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 xml:space="preserve">kontrola a odsouhlasení příslušných technologických předpisů (piloty, zemní kotvy, konstrukce žel. spodku, provádění násypů, zásypů a jiných zemních těles) </w:t>
      </w:r>
    </w:p>
    <w:p w14:paraId="4715AAC3"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 xml:space="preserve">kontrola provádění zemních prací a dodržování technologické kázně </w:t>
      </w:r>
    </w:p>
    <w:p w14:paraId="2544C28C"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 xml:space="preserve">kontroly a přebírání základových spár (paty pilot), konstrukcí žel. spodku a žel. svršku </w:t>
      </w:r>
    </w:p>
    <w:p w14:paraId="59E8482E"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 xml:space="preserve">kontroly hutnění (hutnící zkoušky) a ostatní polní zkoušky a měření (zkoušky IN-SITU), které bude provádět a výsledky zkoušek předkládat zhotovitel stavby </w:t>
      </w:r>
    </w:p>
    <w:p w14:paraId="3F25E5F3" w14:textId="77777777" w:rsidR="00306259" w:rsidRPr="001B6D26" w:rsidRDefault="00306259" w:rsidP="00306259">
      <w:pPr>
        <w:pStyle w:val="Default"/>
        <w:numPr>
          <w:ilvl w:val="0"/>
          <w:numId w:val="43"/>
        </w:numPr>
        <w:spacing w:after="47"/>
        <w:rPr>
          <w:rFonts w:asciiTheme="minorHAnsi" w:hAnsiTheme="minorHAnsi"/>
          <w:sz w:val="18"/>
          <w:szCs w:val="18"/>
        </w:rPr>
      </w:pPr>
      <w:r w:rsidRPr="001B6D26">
        <w:rPr>
          <w:rFonts w:asciiTheme="minorHAnsi" w:hAnsiTheme="minorHAnsi"/>
          <w:sz w:val="18"/>
          <w:szCs w:val="18"/>
        </w:rPr>
        <w:t xml:space="preserve">monitoring – sledování chování horninového prostředí stavby </w:t>
      </w:r>
    </w:p>
    <w:p w14:paraId="2BF381EE" w14:textId="77777777" w:rsidR="00306259" w:rsidRPr="001B6D26" w:rsidRDefault="00306259" w:rsidP="00306259">
      <w:pPr>
        <w:pStyle w:val="Default"/>
        <w:numPr>
          <w:ilvl w:val="0"/>
          <w:numId w:val="43"/>
        </w:numPr>
        <w:rPr>
          <w:rFonts w:asciiTheme="minorHAnsi" w:hAnsiTheme="minorHAnsi"/>
          <w:sz w:val="18"/>
          <w:szCs w:val="18"/>
        </w:rPr>
      </w:pPr>
      <w:r w:rsidRPr="001B6D26">
        <w:rPr>
          <w:rFonts w:asciiTheme="minorHAnsi" w:hAnsiTheme="minorHAnsi"/>
          <w:sz w:val="18"/>
          <w:szCs w:val="18"/>
        </w:rPr>
        <w:t>vše výše vypsané bude prováděno v souladu s projektovou dokumentací.</w:t>
      </w:r>
    </w:p>
    <w:p w14:paraId="37CC5B75" w14:textId="77777777" w:rsidR="00306259" w:rsidRPr="00523F53" w:rsidRDefault="00306259" w:rsidP="00306259">
      <w:pPr>
        <w:spacing w:before="20"/>
        <w:ind w:left="426"/>
        <w:rPr>
          <w:rFonts w:cs="Arial"/>
        </w:rPr>
      </w:pPr>
    </w:p>
    <w:p w14:paraId="35DD62BC" w14:textId="77777777" w:rsidR="00306259" w:rsidRPr="00523F53" w:rsidRDefault="00306259" w:rsidP="00306259">
      <w:pPr>
        <w:spacing w:line="276" w:lineRule="auto"/>
        <w:ind w:left="284"/>
        <w:jc w:val="both"/>
        <w:rPr>
          <w:rFonts w:cs="Arial"/>
        </w:rPr>
      </w:pPr>
      <w:r w:rsidRPr="00523F53">
        <w:rPr>
          <w:rFonts w:cs="Arial"/>
          <w:u w:val="single"/>
        </w:rPr>
        <w:lastRenderedPageBreak/>
        <w:t xml:space="preserve">Základní rozsah kontrolních zkoušek v rámci investorské kontroly </w:t>
      </w:r>
      <w:r w:rsidRPr="00523F53">
        <w:rPr>
          <w:rFonts w:cs="Arial"/>
        </w:rPr>
        <w:t>(na 1 km koleje):</w:t>
      </w:r>
    </w:p>
    <w:p w14:paraId="092187DD" w14:textId="77777777" w:rsidR="00306259" w:rsidRPr="007449EC" w:rsidRDefault="00306259" w:rsidP="00306259">
      <w:pPr>
        <w:pStyle w:val="Odstavecseseznamem"/>
        <w:numPr>
          <w:ilvl w:val="0"/>
          <w:numId w:val="42"/>
        </w:numPr>
        <w:tabs>
          <w:tab w:val="left" w:pos="5387"/>
        </w:tabs>
        <w:autoSpaceDE w:val="0"/>
        <w:autoSpaceDN w:val="0"/>
        <w:spacing w:after="0" w:line="276" w:lineRule="auto"/>
        <w:jc w:val="both"/>
        <w:rPr>
          <w:rFonts w:cs="Arial"/>
        </w:rPr>
      </w:pPr>
      <w:r w:rsidRPr="007449EC">
        <w:rPr>
          <w:rFonts w:cs="Arial"/>
        </w:rPr>
        <w:t>stanovení parametrů štěrkodrti ……………………………… 2 zkoušky</w:t>
      </w:r>
    </w:p>
    <w:p w14:paraId="6665DA49" w14:textId="77777777" w:rsidR="00306259" w:rsidRPr="007449EC" w:rsidRDefault="00306259" w:rsidP="00306259">
      <w:pPr>
        <w:pStyle w:val="Odstavecseseznamem"/>
        <w:numPr>
          <w:ilvl w:val="0"/>
          <w:numId w:val="42"/>
        </w:numPr>
        <w:tabs>
          <w:tab w:val="left" w:pos="5387"/>
        </w:tabs>
        <w:autoSpaceDE w:val="0"/>
        <w:autoSpaceDN w:val="0"/>
        <w:spacing w:after="0" w:line="276" w:lineRule="auto"/>
        <w:jc w:val="both"/>
        <w:rPr>
          <w:rFonts w:cs="Arial"/>
        </w:rPr>
      </w:pPr>
      <w:r w:rsidRPr="007449EC">
        <w:rPr>
          <w:rFonts w:cs="Arial"/>
        </w:rPr>
        <w:t>stanovení parametrů štěrku      ……………………………… 2 zkoušky</w:t>
      </w:r>
    </w:p>
    <w:p w14:paraId="355F9726" w14:textId="6C741AC7" w:rsidR="00306259" w:rsidRPr="001B6D26" w:rsidRDefault="00306259" w:rsidP="001B6D26">
      <w:pPr>
        <w:pStyle w:val="Odstavecseseznamem"/>
        <w:numPr>
          <w:ilvl w:val="0"/>
          <w:numId w:val="42"/>
        </w:numPr>
        <w:tabs>
          <w:tab w:val="left" w:pos="5387"/>
        </w:tabs>
        <w:autoSpaceDE w:val="0"/>
        <w:autoSpaceDN w:val="0"/>
        <w:spacing w:after="0" w:line="276" w:lineRule="auto"/>
        <w:jc w:val="both"/>
        <w:rPr>
          <w:rFonts w:cs="Arial"/>
        </w:rPr>
      </w:pPr>
      <w:r w:rsidRPr="007449EC">
        <w:rPr>
          <w:rFonts w:cs="Arial"/>
        </w:rPr>
        <w:t>petrografický rozbor štěrku       ……………………………… 1 zkouška</w:t>
      </w:r>
    </w:p>
    <w:p w14:paraId="55D010D1" w14:textId="77777777" w:rsidR="00306259" w:rsidRDefault="00306259" w:rsidP="00F71D74">
      <w:pPr>
        <w:spacing w:after="0" w:line="240" w:lineRule="auto"/>
        <w:ind w:left="426"/>
        <w:jc w:val="both"/>
        <w:rPr>
          <w:rFonts w:eastAsia="Times New Roman" w:cs="Times New Roman"/>
          <w:b/>
          <w:lang w:eastAsia="cs-CZ"/>
        </w:rPr>
      </w:pPr>
    </w:p>
    <w:p w14:paraId="4C9765C3" w14:textId="77777777" w:rsidR="00306259" w:rsidRPr="001B6D26" w:rsidRDefault="00306259" w:rsidP="00306259">
      <w:pPr>
        <w:tabs>
          <w:tab w:val="left" w:pos="1008"/>
        </w:tabs>
        <w:spacing w:line="276" w:lineRule="auto"/>
        <w:ind w:firstLine="284"/>
        <w:jc w:val="both"/>
        <w:rPr>
          <w:rFonts w:cs="Arial"/>
          <w:b/>
        </w:rPr>
      </w:pPr>
      <w:r w:rsidRPr="001B6D26">
        <w:rPr>
          <w:rFonts w:cs="Arial"/>
          <w:b/>
        </w:rPr>
        <w:t>Tabulka</w:t>
      </w:r>
      <w:r w:rsidRPr="001B6D26">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306259" w:rsidRPr="001B6D26" w14:paraId="228907A4" w14:textId="77777777" w:rsidTr="00306259">
        <w:trPr>
          <w:trHeight w:val="663"/>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727BD75" w14:textId="77777777" w:rsidR="00306259" w:rsidRPr="001B6D26" w:rsidRDefault="00306259" w:rsidP="00536050">
            <w:pPr>
              <w:spacing w:line="276" w:lineRule="auto"/>
              <w:jc w:val="both"/>
              <w:rPr>
                <w:rFonts w:eastAsia="Arial Unicode MS" w:cs="Arial"/>
                <w:b/>
                <w:bCs/>
              </w:rPr>
            </w:pPr>
            <w:r w:rsidRPr="001B6D26">
              <w:rPr>
                <w:rFonts w:cs="Arial"/>
                <w:b/>
                <w:bCs/>
              </w:rPr>
              <w:t>Činnost</w:t>
            </w:r>
          </w:p>
        </w:tc>
        <w:tc>
          <w:tcPr>
            <w:tcW w:w="1104" w:type="dxa"/>
            <w:tcBorders>
              <w:top w:val="single" w:sz="4" w:space="0" w:color="auto"/>
              <w:left w:val="nil"/>
              <w:bottom w:val="single" w:sz="4" w:space="0" w:color="auto"/>
              <w:right w:val="single" w:sz="4" w:space="0" w:color="auto"/>
            </w:tcBorders>
            <w:hideMark/>
          </w:tcPr>
          <w:p w14:paraId="7A9C269D" w14:textId="77777777" w:rsidR="00306259" w:rsidRPr="001B6D26" w:rsidRDefault="00306259" w:rsidP="00536050">
            <w:pPr>
              <w:spacing w:line="276" w:lineRule="auto"/>
              <w:jc w:val="both"/>
              <w:rPr>
                <w:rFonts w:cs="Arial"/>
                <w:b/>
                <w:bCs/>
              </w:rPr>
            </w:pPr>
            <w:r w:rsidRPr="001B6D26">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3825191" w14:textId="77777777" w:rsidR="00306259" w:rsidRPr="001B6D26" w:rsidRDefault="00306259" w:rsidP="00536050">
            <w:pPr>
              <w:spacing w:line="276" w:lineRule="auto"/>
              <w:jc w:val="both"/>
              <w:rPr>
                <w:rFonts w:eastAsia="Arial Unicode MS" w:cs="Arial"/>
                <w:b/>
                <w:bCs/>
              </w:rPr>
            </w:pPr>
            <w:r w:rsidRPr="001B6D26">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97FFD52" w14:textId="77777777" w:rsidR="00306259" w:rsidRPr="001B6D26" w:rsidRDefault="00306259" w:rsidP="00536050">
            <w:pPr>
              <w:spacing w:line="276" w:lineRule="auto"/>
              <w:jc w:val="both"/>
              <w:rPr>
                <w:rFonts w:eastAsia="Arial Unicode MS" w:cs="Arial"/>
                <w:b/>
                <w:bCs/>
              </w:rPr>
            </w:pPr>
            <w:r w:rsidRPr="001B6D26">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E25FDDE" w14:textId="77777777" w:rsidR="00306259" w:rsidRPr="001B6D26" w:rsidRDefault="00306259" w:rsidP="00536050">
            <w:pPr>
              <w:spacing w:line="276" w:lineRule="auto"/>
              <w:jc w:val="both"/>
              <w:rPr>
                <w:rFonts w:eastAsia="Arial Unicode MS" w:cs="Arial"/>
                <w:b/>
                <w:bCs/>
              </w:rPr>
            </w:pPr>
            <w:r w:rsidRPr="001B6D26">
              <w:rPr>
                <w:rFonts w:cs="Arial"/>
                <w:b/>
                <w:bCs/>
              </w:rPr>
              <w:t>Celková cena</w:t>
            </w:r>
          </w:p>
        </w:tc>
      </w:tr>
      <w:tr w:rsidR="00306259" w:rsidRPr="001B6D26" w14:paraId="5E239C42" w14:textId="77777777" w:rsidTr="00306259">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DF6D7D2" w14:textId="77777777" w:rsidR="00306259" w:rsidRPr="001B6D26" w:rsidRDefault="00306259" w:rsidP="00536050">
            <w:pPr>
              <w:spacing w:line="276" w:lineRule="auto"/>
              <w:jc w:val="both"/>
              <w:rPr>
                <w:rFonts w:cs="Arial"/>
                <w:color w:val="000000" w:themeColor="text1"/>
              </w:rPr>
            </w:pPr>
            <w:r w:rsidRPr="001B6D26">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01C28ACE" w14:textId="77777777" w:rsidR="00306259" w:rsidRPr="001B6D26" w:rsidRDefault="00306259" w:rsidP="00536050">
            <w:pPr>
              <w:spacing w:line="276" w:lineRule="auto"/>
              <w:jc w:val="center"/>
              <w:rPr>
                <w:rFonts w:eastAsia="Arial Unicode MS" w:cs="Arial"/>
                <w:color w:val="000000" w:themeColor="text1"/>
              </w:rPr>
            </w:pPr>
            <w:r w:rsidRPr="001B6D26">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F53A986" w14:textId="77777777" w:rsidR="00306259" w:rsidRPr="001B6D26" w:rsidRDefault="00306259" w:rsidP="00536050">
            <w:pPr>
              <w:spacing w:line="276" w:lineRule="auto"/>
              <w:jc w:val="center"/>
              <w:rPr>
                <w:rFonts w:eastAsia="Arial Unicode MS" w:cs="Arial"/>
                <w:color w:val="000000" w:themeColor="text1"/>
              </w:rPr>
            </w:pPr>
            <w:r w:rsidRPr="001B6D26">
              <w:rPr>
                <w:rFonts w:eastAsia="Arial Unicode MS" w:cs="Arial"/>
                <w:color w:val="000000" w:themeColor="text1"/>
              </w:rPr>
              <w:t>360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79B455C" w14:textId="77777777" w:rsidR="00306259" w:rsidRPr="001B6D26" w:rsidRDefault="00306259" w:rsidP="00536050">
            <w:pPr>
              <w:spacing w:line="276" w:lineRule="auto"/>
              <w:jc w:val="right"/>
              <w:rPr>
                <w:rFonts w:eastAsia="Arial Unicode MS" w:cs="Arial"/>
              </w:rPr>
            </w:pPr>
            <w:r w:rsidRPr="001B6D26">
              <w:rPr>
                <w:rFonts w:eastAsia="Arial Unicode MS" w:cs="Arial"/>
              </w:rPr>
              <w:t>4000</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4AC0B66F" w14:textId="77777777" w:rsidR="00306259" w:rsidRPr="001B6D26" w:rsidRDefault="00306259" w:rsidP="00536050">
            <w:pPr>
              <w:spacing w:line="276" w:lineRule="auto"/>
              <w:jc w:val="right"/>
              <w:rPr>
                <w:rFonts w:eastAsia="Arial Unicode MS" w:cs="Arial"/>
              </w:rPr>
            </w:pPr>
          </w:p>
        </w:tc>
      </w:tr>
      <w:tr w:rsidR="00306259" w:rsidRPr="001B6D26" w14:paraId="50A63AAC" w14:textId="77777777" w:rsidTr="00306259">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72E8B50" w14:textId="77777777" w:rsidR="00306259" w:rsidRPr="001B6D26" w:rsidRDefault="00306259" w:rsidP="00536050">
            <w:pPr>
              <w:spacing w:line="276" w:lineRule="auto"/>
              <w:jc w:val="both"/>
              <w:rPr>
                <w:rFonts w:cs="Arial"/>
                <w:color w:val="000000" w:themeColor="text1"/>
              </w:rPr>
            </w:pPr>
            <w:r w:rsidRPr="001B6D26">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6FA32EC9" w14:textId="77777777" w:rsidR="00306259" w:rsidRPr="001B6D26" w:rsidRDefault="00306259" w:rsidP="00536050">
            <w:pPr>
              <w:spacing w:line="276" w:lineRule="auto"/>
              <w:jc w:val="center"/>
              <w:rPr>
                <w:rFonts w:eastAsia="Arial Unicode MS" w:cs="Arial"/>
                <w:color w:val="000000" w:themeColor="text1"/>
              </w:rPr>
            </w:pPr>
            <w:r w:rsidRPr="001B6D26">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246D419" w14:textId="77777777" w:rsidR="00306259" w:rsidRPr="001B6D26" w:rsidRDefault="00306259" w:rsidP="00536050">
            <w:pPr>
              <w:spacing w:line="276" w:lineRule="auto"/>
              <w:jc w:val="center"/>
              <w:rPr>
                <w:rFonts w:eastAsia="Arial Unicode MS" w:cs="Arial"/>
                <w:color w:val="000000" w:themeColor="text1"/>
              </w:rPr>
            </w:pPr>
            <w:r w:rsidRPr="001B6D26">
              <w:rPr>
                <w:rFonts w:eastAsia="Times New Roman" w:cs="Times New Roman"/>
                <w:lang w:eastAsia="cs-CZ"/>
              </w:rPr>
              <w:t>6 912</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52439F51" w14:textId="77777777" w:rsidR="00306259" w:rsidRPr="001B6D26" w:rsidRDefault="00306259" w:rsidP="00536050">
            <w:pPr>
              <w:spacing w:line="276" w:lineRule="auto"/>
              <w:jc w:val="right"/>
              <w:rPr>
                <w:rFonts w:eastAsia="Arial Unicode MS" w:cs="Arial"/>
              </w:rPr>
            </w:pPr>
            <w:r w:rsidRPr="001B6D26">
              <w:rPr>
                <w:rFonts w:ascii="Verdana" w:eastAsia="Aptos" w:hAnsi="Verdana" w:cs="Aptos"/>
                <w:color w:val="000000"/>
                <w14:ligatures w14:val="standardContextual"/>
              </w:rPr>
              <w:t>1000</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743D746" w14:textId="77777777" w:rsidR="00306259" w:rsidRPr="001B6D26" w:rsidRDefault="00306259" w:rsidP="00536050">
            <w:pPr>
              <w:spacing w:line="276" w:lineRule="auto"/>
              <w:jc w:val="right"/>
              <w:rPr>
                <w:rFonts w:eastAsia="Arial Unicode MS" w:cs="Arial"/>
              </w:rPr>
            </w:pPr>
          </w:p>
        </w:tc>
      </w:tr>
      <w:tr w:rsidR="00306259" w:rsidRPr="001B6D26" w14:paraId="64A04E60" w14:textId="77777777" w:rsidTr="00306259">
        <w:trPr>
          <w:trHeight w:val="727"/>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425B2B3" w14:textId="77777777" w:rsidR="00306259" w:rsidRPr="001B6D26" w:rsidRDefault="00306259" w:rsidP="00536050">
            <w:pPr>
              <w:spacing w:line="276" w:lineRule="auto"/>
              <w:jc w:val="both"/>
              <w:rPr>
                <w:rFonts w:cs="Arial"/>
              </w:rPr>
            </w:pPr>
            <w:r w:rsidRPr="001B6D26">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05454B2E" w14:textId="77777777" w:rsidR="00306259" w:rsidRPr="001B6D26" w:rsidRDefault="00306259" w:rsidP="00536050">
            <w:pPr>
              <w:spacing w:line="276" w:lineRule="auto"/>
              <w:jc w:val="center"/>
              <w:rPr>
                <w:rFonts w:eastAsia="Arial Unicode MS" w:cs="Arial"/>
              </w:rPr>
            </w:pPr>
            <w:r w:rsidRPr="001B6D26">
              <w:rPr>
                <w:rFonts w:eastAsia="Arial Unicode MS" w:cs="Arial"/>
              </w:rPr>
              <w:t>ks</w:t>
            </w:r>
          </w:p>
        </w:tc>
        <w:tc>
          <w:tcPr>
            <w:tcW w:w="110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61E87F" w14:textId="77777777" w:rsidR="00306259" w:rsidRPr="001B6D26" w:rsidRDefault="00306259" w:rsidP="00536050">
            <w:pPr>
              <w:spacing w:line="276" w:lineRule="auto"/>
              <w:jc w:val="center"/>
              <w:rPr>
                <w:rFonts w:eastAsia="Arial Unicode MS" w:cs="Arial"/>
              </w:rPr>
            </w:pPr>
            <w:r w:rsidRPr="001B6D26">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1D21203D" w14:textId="77777777" w:rsidR="00306259" w:rsidRPr="001B6D26" w:rsidRDefault="00306259" w:rsidP="00536050">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1ADE7E4F" w14:textId="77777777" w:rsidR="00306259" w:rsidRPr="001B6D26" w:rsidRDefault="00306259" w:rsidP="00536050">
            <w:pPr>
              <w:spacing w:line="276" w:lineRule="auto"/>
              <w:jc w:val="right"/>
              <w:rPr>
                <w:rFonts w:eastAsia="Arial Unicode MS" w:cs="Arial"/>
              </w:rPr>
            </w:pPr>
          </w:p>
        </w:tc>
      </w:tr>
    </w:tbl>
    <w:p w14:paraId="6161E538" w14:textId="77777777" w:rsidR="00306259" w:rsidRPr="001B6D26" w:rsidRDefault="00306259" w:rsidP="00F71D74">
      <w:pPr>
        <w:spacing w:after="0" w:line="240" w:lineRule="auto"/>
        <w:ind w:left="426"/>
        <w:jc w:val="both"/>
        <w:rPr>
          <w:rFonts w:cs="Arial"/>
        </w:rPr>
      </w:pPr>
    </w:p>
    <w:p w14:paraId="621E176A" w14:textId="0AD1822F" w:rsidR="00F71D74" w:rsidRPr="00FC44E6" w:rsidRDefault="00306259" w:rsidP="00F71D74">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69EF34D" w14:textId="3E29CCA9" w:rsidR="00F01FED" w:rsidRPr="00F01FED" w:rsidRDefault="001B6D26" w:rsidP="008815A0">
      <w:pPr>
        <w:spacing w:before="120" w:after="0" w:line="240" w:lineRule="auto"/>
        <w:ind w:left="425"/>
        <w:jc w:val="both"/>
        <w:rPr>
          <w:rFonts w:eastAsia="Times New Roman" w:cs="Times New Roman"/>
          <w:lang w:eastAsia="cs-CZ"/>
        </w:rPr>
      </w:pPr>
      <w:r w:rsidRPr="001B6D26">
        <w:rPr>
          <w:rFonts w:eastAsia="Times New Roman" w:cs="Times New Roman"/>
          <w:b/>
          <w:bCs/>
          <w:lang w:eastAsia="cs-CZ"/>
        </w:rPr>
        <w:t xml:space="preserve">71311230-2 </w:t>
      </w:r>
      <w:r w:rsidRPr="001B6D26">
        <w:rPr>
          <w:rFonts w:eastAsia="Times New Roman" w:cs="Times New Roman"/>
          <w:lang w:eastAsia="cs-CZ"/>
        </w:rPr>
        <w:t>Poradenství v oblasti stavebního inženýrství –</w:t>
      </w:r>
      <w:r w:rsidR="000A2CE0">
        <w:rPr>
          <w:rFonts w:eastAsia="Times New Roman" w:cs="Times New Roman"/>
          <w:lang w:eastAsia="cs-CZ"/>
        </w:rPr>
        <w:t xml:space="preserve"> </w:t>
      </w:r>
      <w:r w:rsidRPr="001B6D26">
        <w:rPr>
          <w:rFonts w:eastAsia="Times New Roman" w:cs="Times New Roman"/>
          <w:lang w:eastAsia="cs-CZ"/>
        </w:rPr>
        <w:t>železniční stavitelství</w:t>
      </w:r>
    </w:p>
    <w:p w14:paraId="2AE8A32C" w14:textId="77777777" w:rsidR="00F01FED" w:rsidRDefault="00F01FED" w:rsidP="00F01FED">
      <w:pPr>
        <w:spacing w:after="0" w:line="240" w:lineRule="auto"/>
        <w:ind w:left="426"/>
        <w:jc w:val="both"/>
        <w:rPr>
          <w:rFonts w:eastAsia="Times New Roman" w:cs="Times New Roman"/>
          <w:lang w:eastAsia="cs-CZ"/>
        </w:rPr>
      </w:pPr>
    </w:p>
    <w:p w14:paraId="2070F45B" w14:textId="77777777" w:rsidR="00A030E3" w:rsidRPr="00F01FED" w:rsidRDefault="00A030E3"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52AFD63E" w:rsidR="004901A1" w:rsidRPr="001B6D26" w:rsidRDefault="00F01FED" w:rsidP="004901A1">
      <w:pPr>
        <w:numPr>
          <w:ilvl w:val="0"/>
          <w:numId w:val="7"/>
        </w:numPr>
        <w:spacing w:after="0" w:line="240" w:lineRule="auto"/>
        <w:ind w:left="709" w:hanging="283"/>
        <w:rPr>
          <w:rFonts w:eastAsia="Times New Roman" w:cs="Times New Roman"/>
          <w:lang w:eastAsia="cs-CZ"/>
        </w:rPr>
      </w:pPr>
      <w:r w:rsidRPr="001B6D26">
        <w:rPr>
          <w:rFonts w:eastAsia="Times New Roman" w:cs="Times New Roman"/>
          <w:lang w:eastAsia="cs-CZ"/>
        </w:rPr>
        <w:t xml:space="preserve">Výzva k podání nabídky č. j. </w:t>
      </w:r>
      <w:r w:rsidR="006007BE">
        <w:rPr>
          <w:rFonts w:eastAsia="Times New Roman" w:cs="Times New Roman"/>
          <w:lang w:eastAsia="cs-CZ"/>
        </w:rPr>
        <w:t>14398</w:t>
      </w:r>
      <w:r w:rsidR="001B6D26" w:rsidRPr="001B6D26">
        <w:rPr>
          <w:rFonts w:eastAsia="Times New Roman" w:cs="Times New Roman"/>
          <w:lang w:eastAsia="cs-CZ"/>
        </w:rPr>
        <w:t>/2024-SŽ-SSV-Ú3</w:t>
      </w:r>
      <w:r w:rsidRPr="001B6D26">
        <w:rPr>
          <w:rFonts w:eastAsia="Times New Roman" w:cs="Times New Roman"/>
          <w:lang w:eastAsia="cs-CZ"/>
        </w:rPr>
        <w:t xml:space="preserve"> ze dne </w:t>
      </w:r>
      <w:r w:rsidR="00DF0C85" w:rsidRPr="00F328FD">
        <w:rPr>
          <w:rFonts w:eastAsia="Times New Roman" w:cs="Times New Roman"/>
          <w:lang w:eastAsia="cs-CZ"/>
        </w:rPr>
        <w:t>1</w:t>
      </w:r>
      <w:r w:rsidR="002465F4" w:rsidRPr="00F328FD">
        <w:rPr>
          <w:rFonts w:eastAsia="Times New Roman" w:cs="Times New Roman"/>
          <w:lang w:eastAsia="cs-CZ"/>
        </w:rPr>
        <w:t>9</w:t>
      </w:r>
      <w:r w:rsidR="00DF0C85" w:rsidRPr="00F328FD">
        <w:rPr>
          <w:rFonts w:eastAsia="Times New Roman" w:cs="Times New Roman"/>
          <w:lang w:eastAsia="cs-CZ"/>
        </w:rPr>
        <w:t>.</w:t>
      </w:r>
      <w:r w:rsidR="00DF0C85">
        <w:rPr>
          <w:rFonts w:eastAsia="Times New Roman" w:cs="Times New Roman"/>
          <w:lang w:eastAsia="cs-CZ"/>
        </w:rPr>
        <w:t xml:space="preserve"> 12. 2024</w:t>
      </w:r>
      <w:r w:rsidRPr="001B6D26">
        <w:rPr>
          <w:rFonts w:eastAsia="Times New Roman" w:cs="Times New Roman"/>
          <w:lang w:eastAsia="cs-CZ"/>
        </w:rPr>
        <w:t xml:space="preserve"> (dále jen “Výzva”), </w:t>
      </w:r>
    </w:p>
    <w:p w14:paraId="1E2C23D6" w14:textId="77777777" w:rsidR="004901A1" w:rsidRPr="001B6D26" w:rsidRDefault="00F01FED" w:rsidP="004901A1">
      <w:pPr>
        <w:numPr>
          <w:ilvl w:val="0"/>
          <w:numId w:val="7"/>
        </w:numPr>
        <w:spacing w:after="0" w:line="240" w:lineRule="auto"/>
        <w:ind w:left="709" w:hanging="283"/>
        <w:rPr>
          <w:rFonts w:eastAsia="Times New Roman" w:cs="Times New Roman"/>
          <w:lang w:eastAsia="cs-CZ"/>
        </w:rPr>
      </w:pPr>
      <w:r w:rsidRPr="001B6D26">
        <w:rPr>
          <w:rFonts w:eastAsia="Times New Roman" w:cs="Times New Roman"/>
          <w:lang w:eastAsia="cs-CZ"/>
        </w:rPr>
        <w:t>Závazný vzor Smlouvy o dílo,</w:t>
      </w:r>
    </w:p>
    <w:p w14:paraId="5B2026CD" w14:textId="382B7852" w:rsidR="00F01FED" w:rsidRPr="001B6D26" w:rsidRDefault="00F01FED" w:rsidP="004901A1">
      <w:pPr>
        <w:numPr>
          <w:ilvl w:val="0"/>
          <w:numId w:val="7"/>
        </w:numPr>
        <w:spacing w:after="0" w:line="240" w:lineRule="auto"/>
        <w:ind w:left="709" w:hanging="283"/>
        <w:rPr>
          <w:rFonts w:eastAsia="Times New Roman" w:cs="Times New Roman"/>
          <w:lang w:eastAsia="cs-CZ"/>
        </w:rPr>
      </w:pPr>
      <w:r w:rsidRPr="001B6D26">
        <w:rPr>
          <w:rFonts w:eastAsia="Times New Roman" w:cs="Times New Roman"/>
          <w:lang w:eastAsia="cs-CZ"/>
        </w:rPr>
        <w:t xml:space="preserve">Obchodní podmínky </w:t>
      </w:r>
      <w:r w:rsidR="001B6D26" w:rsidRPr="001B6D26">
        <w:rPr>
          <w:rFonts w:eastAsia="Times New Roman" w:cs="Times New Roman"/>
          <w:lang w:eastAsia="cs-CZ"/>
        </w:rPr>
        <w:t>pro smlouvu o dílo na poskytování služeb OP SSV/06/24</w:t>
      </w:r>
      <w:r w:rsidRPr="001B6D26">
        <w:rPr>
          <w:rFonts w:eastAsia="Times New Roman" w:cs="Times New Roman"/>
          <w:lang w:val="en-US" w:eastAsia="cs-CZ"/>
        </w:rPr>
        <w:t>,</w:t>
      </w:r>
    </w:p>
    <w:p w14:paraId="7B7D7A4F" w14:textId="3E629871" w:rsidR="00F01FED" w:rsidRPr="001B6D26" w:rsidRDefault="00306259" w:rsidP="001B6D26">
      <w:pPr>
        <w:numPr>
          <w:ilvl w:val="0"/>
          <w:numId w:val="7"/>
        </w:numPr>
        <w:spacing w:after="0" w:line="240" w:lineRule="auto"/>
        <w:ind w:left="709" w:hanging="283"/>
        <w:rPr>
          <w:rFonts w:eastAsia="Times New Roman" w:cs="Times New Roman"/>
          <w:lang w:eastAsia="cs-CZ"/>
        </w:rPr>
      </w:pPr>
      <w:r w:rsidRPr="001B6D26">
        <w:rPr>
          <w:rFonts w:eastAsia="Times New Roman" w:cs="Times New Roman"/>
          <w:lang w:eastAsia="cs-CZ"/>
        </w:rPr>
        <w:t>Vybrané části PDPS zpracov</w:t>
      </w:r>
      <w:r w:rsidR="004B2C6F">
        <w:rPr>
          <w:rFonts w:eastAsia="Times New Roman" w:cs="Times New Roman"/>
          <w:lang w:eastAsia="cs-CZ"/>
        </w:rPr>
        <w:t>ané</w:t>
      </w:r>
      <w:r w:rsidRPr="001B6D26">
        <w:rPr>
          <w:rFonts w:eastAsia="Times New Roman" w:cs="Times New Roman"/>
          <w:lang w:eastAsia="cs-CZ"/>
        </w:rPr>
        <w:t xml:space="preserve"> společností</w:t>
      </w:r>
      <w:r w:rsidRPr="001B6D26" w:rsidDel="000C703B">
        <w:rPr>
          <w:rFonts w:eastAsia="Times New Roman" w:cs="Times New Roman"/>
          <w:lang w:eastAsia="cs-CZ"/>
        </w:rPr>
        <w:t xml:space="preserve"> </w:t>
      </w:r>
      <w:r w:rsidRPr="001B6D26">
        <w:rPr>
          <w:rFonts w:eastAsia="Times New Roman" w:cs="Times New Roman"/>
          <w:lang w:eastAsia="cs-CZ"/>
        </w:rPr>
        <w:t>Společnost SUBO-SUPRA-SUEU pro DSP + PDPS „Modernizace železničního uzlu Česká Třebová“ 11/2023</w:t>
      </w:r>
      <w:r w:rsidR="001B6D26" w:rsidRPr="001B6D26">
        <w:rPr>
          <w:rFonts w:eastAsia="Times New Roman" w:cs="Times New Roman"/>
          <w:lang w:eastAsia="cs-CZ"/>
        </w:rPr>
        <w:t xml:space="preserve"> </w:t>
      </w:r>
      <w:r w:rsidRPr="001B6D26">
        <w:rPr>
          <w:rFonts w:eastAsia="Times New Roman" w:cs="Times New Roman"/>
          <w:lang w:eastAsia="cs-CZ"/>
        </w:rPr>
        <w:t>Společník č.1 (vedoucí společník): SUDOP Brno, spol s</w:t>
      </w:r>
      <w:r w:rsidR="001B6D26">
        <w:rPr>
          <w:rFonts w:eastAsia="Times New Roman" w:cs="Times New Roman"/>
          <w:lang w:eastAsia="cs-CZ"/>
        </w:rPr>
        <w:t> </w:t>
      </w:r>
      <w:r w:rsidRPr="001B6D26">
        <w:rPr>
          <w:rFonts w:eastAsia="Times New Roman" w:cs="Times New Roman"/>
          <w:lang w:eastAsia="cs-CZ"/>
        </w:rPr>
        <w:t>r</w:t>
      </w:r>
      <w:r w:rsidR="001B6D26">
        <w:rPr>
          <w:rFonts w:eastAsia="Times New Roman" w:cs="Times New Roman"/>
          <w:lang w:eastAsia="cs-CZ"/>
        </w:rPr>
        <w:t>.</w:t>
      </w:r>
      <w:r w:rsidRPr="001B6D26">
        <w:rPr>
          <w:rFonts w:eastAsia="Times New Roman" w:cs="Times New Roman"/>
          <w:lang w:eastAsia="cs-CZ"/>
        </w:rPr>
        <w:t xml:space="preserve"> o.</w:t>
      </w:r>
      <w:r w:rsidR="001B6D26">
        <w:rPr>
          <w:rFonts w:eastAsia="Times New Roman" w:cs="Times New Roman"/>
          <w:lang w:eastAsia="cs-CZ"/>
        </w:rPr>
        <w:t>,</w:t>
      </w:r>
      <w:r w:rsidRPr="001B6D26">
        <w:rPr>
          <w:rFonts w:eastAsia="Times New Roman" w:cs="Times New Roman"/>
          <w:lang w:eastAsia="cs-CZ"/>
        </w:rPr>
        <w:t xml:space="preserve"> Kounicova 26, 611 36 Brno IČO: 44960417, Společník č.2: SUDOP PRAHA, a.s., Olšanská </w:t>
      </w:r>
      <w:proofErr w:type="gramStart"/>
      <w:r w:rsidRPr="001B6D26">
        <w:rPr>
          <w:rFonts w:eastAsia="Times New Roman" w:cs="Times New Roman"/>
          <w:lang w:eastAsia="cs-CZ"/>
        </w:rPr>
        <w:t>1a</w:t>
      </w:r>
      <w:proofErr w:type="gramEnd"/>
      <w:r w:rsidRPr="001B6D26">
        <w:rPr>
          <w:rFonts w:eastAsia="Times New Roman" w:cs="Times New Roman"/>
          <w:lang w:eastAsia="cs-CZ"/>
        </w:rPr>
        <w:t>, 13080 Praha 3, IČO: 25793349, Společník č.3: SUDOP EU a.s., Olšanská 2643/1a, 130 80 Praha 3, IČO: 05165024</w:t>
      </w:r>
      <w:r w:rsidR="00F01FED" w:rsidRPr="001B6D26">
        <w:rPr>
          <w:rFonts w:eastAsia="Times New Roman" w:cs="Times New Roman"/>
          <w:lang w:eastAsia="cs-CZ"/>
        </w:rPr>
        <w:t>.</w:t>
      </w:r>
    </w:p>
    <w:p w14:paraId="17CA21DC" w14:textId="77777777" w:rsidR="00F01FED" w:rsidRDefault="00F01FED" w:rsidP="00F01FED">
      <w:pPr>
        <w:spacing w:after="0" w:line="240" w:lineRule="auto"/>
        <w:ind w:left="426"/>
        <w:rPr>
          <w:rFonts w:eastAsia="Times New Roman" w:cs="Times New Roman"/>
          <w:lang w:eastAsia="cs-CZ"/>
        </w:rPr>
      </w:pPr>
    </w:p>
    <w:p w14:paraId="48272A77" w14:textId="77777777" w:rsidR="00A030E3" w:rsidRPr="00F01FED" w:rsidRDefault="00A030E3"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Default="00F01FED" w:rsidP="00F01FED">
      <w:pPr>
        <w:spacing w:after="0" w:line="240" w:lineRule="auto"/>
        <w:ind w:left="426"/>
        <w:jc w:val="both"/>
        <w:rPr>
          <w:rFonts w:eastAsia="Times New Roman" w:cs="Times New Roman"/>
          <w:lang w:eastAsia="cs-CZ"/>
        </w:rPr>
      </w:pPr>
    </w:p>
    <w:p w14:paraId="679E0BFB" w14:textId="77777777" w:rsidR="00A030E3" w:rsidRPr="00F01FED" w:rsidRDefault="00A030E3"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1444545A"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w:t>
      </w:r>
      <w:r w:rsidR="00813AA4">
        <w:rPr>
          <w:rFonts w:eastAsia="Times New Roman" w:cs="Times New Roman"/>
          <w:b/>
          <w:u w:val="single"/>
          <w:lang w:eastAsia="cs-CZ"/>
        </w:rPr>
        <w:t>,</w:t>
      </w:r>
      <w:r w:rsidR="00813AA4" w:rsidRPr="00813AA4">
        <w:rPr>
          <w:rFonts w:eastAsia="Times New Roman" w:cs="Times New Roman"/>
          <w:b/>
          <w:u w:val="single"/>
          <w:lang w:eastAsia="cs-CZ"/>
        </w:rPr>
        <w:t xml:space="preserve"> </w:t>
      </w:r>
      <w:r w:rsidR="00813AA4" w:rsidRPr="00F01FED">
        <w:rPr>
          <w:rFonts w:eastAsia="Times New Roman" w:cs="Times New Roman"/>
          <w:b/>
          <w:u w:val="single"/>
          <w:lang w:eastAsia="cs-CZ"/>
        </w:rPr>
        <w:t>způsob fakturace:</w:t>
      </w:r>
    </w:p>
    <w:p w14:paraId="2D34184A" w14:textId="19756260" w:rsidR="00F01FED" w:rsidRPr="001B6D26"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00BB0BFA" w:rsidRPr="00BB0BFA">
        <w:rPr>
          <w:rFonts w:eastAsia="Times New Roman" w:cs="Times New Roman"/>
          <w:b/>
          <w:lang w:eastAsia="cs-CZ"/>
        </w:rPr>
        <w:t xml:space="preserve"> </w:t>
      </w:r>
      <w:r w:rsidR="00BB0BFA" w:rsidRPr="008B4C62">
        <w:rPr>
          <w:rFonts w:eastAsia="Times New Roman" w:cs="Arial"/>
          <w:lang w:eastAsia="cs-CZ"/>
        </w:rPr>
        <w:t xml:space="preserve">bezodkladně po nabytí účinnosti smlouvy o výkonu </w:t>
      </w:r>
      <w:r w:rsidR="00BB0BFA">
        <w:rPr>
          <w:rFonts w:eastAsia="Times New Roman" w:cs="Arial"/>
          <w:lang w:eastAsia="cs-CZ"/>
        </w:rPr>
        <w:t xml:space="preserve">činnosti </w:t>
      </w:r>
      <w:r w:rsidR="00BB0BFA" w:rsidRPr="001A3967">
        <w:rPr>
          <w:rFonts w:eastAsia="Times New Roman" w:cs="Arial"/>
          <w:lang w:eastAsia="cs-CZ"/>
        </w:rPr>
        <w:t>občasného odborného geotechnického dozoru pro stavbu</w:t>
      </w:r>
      <w:r w:rsidR="00BB0BFA">
        <w:rPr>
          <w:rFonts w:eastAsia="Times New Roman" w:cs="Arial"/>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6300B3B2" w14:textId="75CEFC87" w:rsidR="00BB0BFA" w:rsidRDefault="00BB0BFA" w:rsidP="00F01FED">
      <w:pPr>
        <w:spacing w:after="0" w:line="240" w:lineRule="auto"/>
        <w:ind w:left="426"/>
        <w:jc w:val="both"/>
        <w:rPr>
          <w:rFonts w:eastAsia="Times New Roman" w:cs="Times New Roman"/>
          <w:b/>
          <w:lang w:eastAsia="cs-CZ"/>
        </w:rPr>
      </w:pPr>
      <w:r w:rsidRPr="008B4C62">
        <w:rPr>
          <w:rFonts w:eastAsia="Times New Roman" w:cs="Arial"/>
          <w:lang w:eastAsia="cs-CZ"/>
        </w:rPr>
        <w:t>Do</w:t>
      </w:r>
      <w:r>
        <w:rPr>
          <w:rFonts w:eastAsia="Times New Roman" w:cs="Arial"/>
          <w:lang w:eastAsia="cs-CZ"/>
        </w:rPr>
        <w:t xml:space="preserve"> </w:t>
      </w:r>
      <w:r w:rsidRPr="00284F4B">
        <w:rPr>
          <w:rFonts w:eastAsia="Times New Roman" w:cs="Arial"/>
          <w:b/>
          <w:bCs/>
          <w:lang w:eastAsia="cs-CZ"/>
        </w:rPr>
        <w:t>72</w:t>
      </w:r>
      <w:r w:rsidRPr="008B4C62">
        <w:rPr>
          <w:rFonts w:eastAsia="Times New Roman" w:cs="Arial"/>
          <w:lang w:eastAsia="cs-CZ"/>
        </w:rPr>
        <w:t xml:space="preserve"> měsíců ode dne zahájení stavebních prací na předmětné stavbě, kdy je předpokládáno ukončení stavebních prací.</w:t>
      </w:r>
    </w:p>
    <w:p w14:paraId="6EE368A1" w14:textId="77777777" w:rsidR="00BB0BFA"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0611E78D" w14:textId="5755B8EB" w:rsidR="00BB0BFA" w:rsidRDefault="00BB0BFA" w:rsidP="00BB0BFA">
      <w:pPr>
        <w:spacing w:after="0" w:line="240" w:lineRule="auto"/>
        <w:ind w:left="426"/>
        <w:rPr>
          <w:rFonts w:eastAsia="Times New Roman" w:cs="Times New Roman"/>
          <w:b/>
          <w:lang w:eastAsia="cs-CZ"/>
        </w:rPr>
      </w:pPr>
      <w:r w:rsidRPr="00310CE9">
        <w:rPr>
          <w:rFonts w:eastAsia="Times New Roman" w:cs="Arial"/>
          <w:i/>
          <w:lang w:eastAsia="cs-CZ"/>
        </w:rPr>
        <w:t xml:space="preserve">Činnost </w:t>
      </w:r>
      <w:r w:rsidRPr="00310CE9">
        <w:rPr>
          <w:rFonts w:eastAsia="Times New Roman" w:cs="Arial"/>
          <w:b/>
          <w:i/>
          <w:lang w:eastAsia="cs-CZ"/>
        </w:rPr>
        <w:t xml:space="preserve">odborného geotechnického dozoru pro stavbu bude probíhat při </w:t>
      </w:r>
      <w:r w:rsidRPr="00310CE9">
        <w:rPr>
          <w:rFonts w:eastAsia="Times New Roman" w:cs="Arial"/>
          <w:i/>
          <w:lang w:eastAsia="cs-CZ"/>
        </w:rPr>
        <w:t>realizaci stavby:</w:t>
      </w:r>
      <w:r>
        <w:rPr>
          <w:rFonts w:eastAsia="Times New Roman" w:cs="Arial"/>
          <w:i/>
          <w:lang w:eastAsia="cs-CZ"/>
        </w:rPr>
        <w:t xml:space="preserve"> </w:t>
      </w:r>
      <w:r w:rsidRPr="00284F4B">
        <w:rPr>
          <w:rFonts w:eastAsia="Times New Roman" w:cs="Arial"/>
          <w:b/>
          <w:i/>
          <w:lang w:eastAsia="cs-CZ"/>
        </w:rPr>
        <w:t>72</w:t>
      </w:r>
      <w:r>
        <w:rPr>
          <w:rFonts w:eastAsia="Times New Roman" w:cs="Arial"/>
          <w:b/>
          <w:i/>
          <w:lang w:eastAsia="cs-CZ"/>
        </w:rPr>
        <w:t xml:space="preserve"> měsíců</w:t>
      </w:r>
      <w:r w:rsidRPr="00866BEB">
        <w:rPr>
          <w:rFonts w:eastAsia="Times New Roman" w:cs="Arial"/>
          <w:bCs/>
          <w:i/>
          <w:lang w:eastAsia="cs-CZ"/>
        </w:rPr>
        <w:t>, fakturace dle skutečnosti.</w:t>
      </w:r>
    </w:p>
    <w:p w14:paraId="118014FA" w14:textId="2531E459"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6C931783" w:rsidR="00F01FED" w:rsidRDefault="00BB0BFA" w:rsidP="00FF3F0E">
      <w:pPr>
        <w:numPr>
          <w:ilvl w:val="0"/>
          <w:numId w:val="15"/>
        </w:numPr>
        <w:spacing w:after="0" w:line="240" w:lineRule="auto"/>
        <w:rPr>
          <w:rFonts w:eastAsia="Times New Roman" w:cs="Times New Roman"/>
          <w:lang w:eastAsia="cs-CZ"/>
        </w:rPr>
      </w:pPr>
      <w:r w:rsidRPr="00BB0BFA">
        <w:rPr>
          <w:rFonts w:eastAsia="Times New Roman" w:cs="Times New Roman"/>
          <w:b/>
          <w:bCs/>
          <w:lang w:eastAsia="cs-CZ"/>
        </w:rPr>
        <w:t xml:space="preserve">pro předání </w:t>
      </w:r>
      <w:proofErr w:type="gramStart"/>
      <w:r w:rsidRPr="00BB0BFA">
        <w:rPr>
          <w:rFonts w:eastAsia="Times New Roman" w:cs="Times New Roman"/>
          <w:b/>
          <w:bCs/>
          <w:lang w:eastAsia="cs-CZ"/>
        </w:rPr>
        <w:t>díla</w:t>
      </w:r>
      <w:r>
        <w:rPr>
          <w:rFonts w:eastAsia="Times New Roman" w:cs="Times New Roman"/>
          <w:lang w:eastAsia="cs-CZ"/>
        </w:rPr>
        <w:t xml:space="preserve"> -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4DA05249" w14:textId="714A2DBC" w:rsidR="00BB0BFA" w:rsidRPr="00F01FED" w:rsidRDefault="00BB0BFA" w:rsidP="00FF3F0E">
      <w:pPr>
        <w:numPr>
          <w:ilvl w:val="0"/>
          <w:numId w:val="15"/>
        </w:numPr>
        <w:spacing w:after="0" w:line="240" w:lineRule="auto"/>
        <w:rPr>
          <w:rFonts w:eastAsia="Times New Roman" w:cs="Times New Roman"/>
          <w:lang w:eastAsia="cs-CZ"/>
        </w:rPr>
      </w:pPr>
      <w:r w:rsidRPr="009A4250">
        <w:rPr>
          <w:rFonts w:eastAsia="Times New Roman" w:cs="Arial"/>
          <w:b/>
          <w:lang w:eastAsia="cs-CZ"/>
        </w:rPr>
        <w:t>pro geotechnický dozor a konzultační činnost</w:t>
      </w:r>
      <w:r w:rsidRPr="009A4250">
        <w:rPr>
          <w:rFonts w:eastAsia="Times New Roman" w:cs="Arial"/>
          <w:lang w:eastAsia="cs-CZ"/>
        </w:rPr>
        <w:t xml:space="preserve">: místo stavby </w:t>
      </w:r>
      <w:r w:rsidRPr="00676D9B">
        <w:rPr>
          <w:rStyle w:val="Nadpisvtabulce"/>
        </w:rPr>
        <w:t>„</w:t>
      </w:r>
      <w:r>
        <w:rPr>
          <w:rStyle w:val="Nadpisvtabulce"/>
        </w:rPr>
        <w:t>Modernizace železničního uzlu Česká Třebová</w:t>
      </w:r>
      <w:r w:rsidRPr="00676D9B">
        <w:rPr>
          <w:rStyle w:val="Nadpisvtabulce"/>
        </w:rPr>
        <w:t>“</w:t>
      </w:r>
    </w:p>
    <w:p w14:paraId="20554224" w14:textId="77777777" w:rsidR="00813AA4" w:rsidRDefault="00813AA4" w:rsidP="00813AA4">
      <w:pPr>
        <w:spacing w:after="0" w:line="240" w:lineRule="auto"/>
        <w:ind w:left="786"/>
        <w:rPr>
          <w:rFonts w:eastAsia="Times New Roman" w:cs="Times New Roman"/>
          <w:lang w:eastAsia="cs-CZ"/>
        </w:rPr>
      </w:pPr>
    </w:p>
    <w:p w14:paraId="074997BE" w14:textId="1A112F6E" w:rsidR="00813AA4" w:rsidRPr="00813AA4" w:rsidRDefault="00813AA4" w:rsidP="00813AA4">
      <w:pPr>
        <w:spacing w:after="0" w:line="240" w:lineRule="auto"/>
        <w:ind w:left="426"/>
        <w:jc w:val="both"/>
        <w:rPr>
          <w:rFonts w:eastAsia="Times New Roman" w:cs="Arial"/>
          <w:lang w:eastAsia="cs-CZ"/>
        </w:rPr>
      </w:pPr>
      <w:r w:rsidRPr="00813AA4">
        <w:rPr>
          <w:rFonts w:eastAsia="Times New Roman" w:cs="Arial"/>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652D44E6" w14:textId="77777777" w:rsidR="00813AA4" w:rsidRPr="00F01FED" w:rsidRDefault="00813AA4"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7AE73C5D"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EE02B3">
        <w:rPr>
          <w:rFonts w:eastAsia="Times New Roman" w:cs="Times New Roman"/>
          <w:b/>
          <w:u w:val="single"/>
          <w:lang w:eastAsia="cs-CZ"/>
        </w:rPr>
        <w:t xml:space="preserve">, </w:t>
      </w:r>
    </w:p>
    <w:p w14:paraId="7EC949AA" w14:textId="757CC48B" w:rsidR="00BB0BFA" w:rsidRPr="00BB0BFA" w:rsidRDefault="00BB0BFA" w:rsidP="00BB0BFA">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BB0BFA">
        <w:rPr>
          <w:rFonts w:eastAsia="Times New Roman" w:cs="Times New Roman"/>
          <w:lang w:eastAsia="cs-CZ"/>
        </w:rPr>
        <w:t xml:space="preserve">pracované dílo je nutno vyhotovit v počtu </w:t>
      </w:r>
    </w:p>
    <w:p w14:paraId="0B1BEC02" w14:textId="42A7E767" w:rsidR="00BB0BFA" w:rsidRPr="00BB0BFA" w:rsidRDefault="00BB0BFA" w:rsidP="00BB0BFA">
      <w:pPr>
        <w:pStyle w:val="Odstavecseseznamem"/>
        <w:autoSpaceDE w:val="0"/>
        <w:autoSpaceDN w:val="0"/>
        <w:spacing w:after="0" w:line="240" w:lineRule="auto"/>
        <w:ind w:left="502"/>
        <w:rPr>
          <w:rFonts w:eastAsia="Times New Roman" w:cs="Times New Roman"/>
          <w:b/>
          <w:lang w:eastAsia="cs-CZ"/>
        </w:rPr>
      </w:pPr>
      <w:r w:rsidRPr="00BB0BFA">
        <w:rPr>
          <w:rFonts w:eastAsia="Times New Roman" w:cs="Times New Roman"/>
          <w:b/>
          <w:lang w:eastAsia="cs-CZ"/>
        </w:rPr>
        <w:t>-</w:t>
      </w:r>
      <w:r w:rsidRPr="00BB0BFA">
        <w:rPr>
          <w:rFonts w:eastAsia="Times New Roman" w:cs="Times New Roman"/>
          <w:lang w:eastAsia="cs-CZ"/>
        </w:rPr>
        <w:t xml:space="preserve"> </w:t>
      </w:r>
      <w:r w:rsidRPr="00BB0BFA">
        <w:rPr>
          <w:rFonts w:eastAsia="Times New Roman" w:cs="Times New Roman"/>
          <w:b/>
          <w:lang w:eastAsia="cs-CZ"/>
        </w:rPr>
        <w:t>2x   závěrečná zpráva v listinné formě</w:t>
      </w:r>
    </w:p>
    <w:p w14:paraId="4939B5E8" w14:textId="77777777" w:rsidR="00BB0BFA" w:rsidRPr="00BB0BFA" w:rsidRDefault="00BB0BFA" w:rsidP="00BB0BFA">
      <w:pPr>
        <w:pStyle w:val="Odstavecseseznamem"/>
        <w:autoSpaceDE w:val="0"/>
        <w:autoSpaceDN w:val="0"/>
        <w:spacing w:after="0" w:line="240" w:lineRule="auto"/>
        <w:ind w:left="502"/>
        <w:rPr>
          <w:rFonts w:eastAsia="Times New Roman" w:cs="Times New Roman"/>
          <w:b/>
          <w:lang w:eastAsia="cs-CZ"/>
        </w:rPr>
      </w:pPr>
      <w:r w:rsidRPr="00BB0BFA">
        <w:rPr>
          <w:rFonts w:eastAsia="Times New Roman" w:cs="Times New Roman"/>
          <w:b/>
          <w:lang w:eastAsia="cs-CZ"/>
        </w:rPr>
        <w:t>- 1x   závěrečná zpráva v </w:t>
      </w:r>
      <w:proofErr w:type="spellStart"/>
      <w:r w:rsidRPr="00BB0BFA">
        <w:rPr>
          <w:rFonts w:eastAsia="Times New Roman" w:cs="Times New Roman"/>
          <w:b/>
          <w:lang w:eastAsia="cs-CZ"/>
        </w:rPr>
        <w:t>dig</w:t>
      </w:r>
      <w:proofErr w:type="spellEnd"/>
      <w:r w:rsidRPr="00BB0BFA">
        <w:rPr>
          <w:rFonts w:eastAsia="Times New Roman" w:cs="Times New Roman"/>
          <w:b/>
          <w:lang w:eastAsia="cs-CZ"/>
        </w:rPr>
        <w:t>. formě (</w:t>
      </w:r>
      <w:proofErr w:type="spellStart"/>
      <w:r w:rsidRPr="00BB0BFA">
        <w:rPr>
          <w:rFonts w:eastAsia="Times New Roman" w:cs="Times New Roman"/>
          <w:b/>
          <w:lang w:eastAsia="cs-CZ"/>
        </w:rPr>
        <w:t>pdf</w:t>
      </w:r>
      <w:proofErr w:type="spellEnd"/>
      <w:r w:rsidRPr="00BB0BFA">
        <w:rPr>
          <w:rFonts w:eastAsia="Times New Roman" w:cs="Times New Roman"/>
          <w:b/>
          <w:lang w:eastAsia="cs-CZ"/>
        </w:rPr>
        <w:t xml:space="preserve">) </w:t>
      </w:r>
    </w:p>
    <w:p w14:paraId="4604736D" w14:textId="77777777" w:rsidR="00BB0BFA" w:rsidRPr="00BB0BFA" w:rsidRDefault="00BB0BFA" w:rsidP="00BB0BFA">
      <w:pPr>
        <w:pStyle w:val="Odstavecseseznamem"/>
        <w:autoSpaceDE w:val="0"/>
        <w:autoSpaceDN w:val="0"/>
        <w:spacing w:after="0" w:line="240" w:lineRule="auto"/>
        <w:ind w:left="502"/>
        <w:rPr>
          <w:rFonts w:eastAsia="Times New Roman" w:cs="Times New Roman"/>
          <w:lang w:eastAsia="cs-CZ"/>
        </w:rPr>
      </w:pPr>
    </w:p>
    <w:p w14:paraId="33CCF6E3" w14:textId="77777777" w:rsidR="00BB0BFA" w:rsidRPr="00BB0BFA" w:rsidRDefault="00BB0BFA" w:rsidP="00BB0BFA">
      <w:pPr>
        <w:pStyle w:val="Odstavecseseznamem"/>
        <w:autoSpaceDE w:val="0"/>
        <w:autoSpaceDN w:val="0"/>
        <w:spacing w:after="0" w:line="240" w:lineRule="auto"/>
        <w:ind w:left="502"/>
        <w:rPr>
          <w:rFonts w:eastAsia="Times New Roman" w:cs="Times New Roman"/>
          <w:lang w:eastAsia="cs-CZ"/>
        </w:rPr>
      </w:pPr>
      <w:r w:rsidRPr="00BB0BFA">
        <w:rPr>
          <w:rFonts w:eastAsia="Times New Roman" w:cs="Times New Roman"/>
          <w:lang w:eastAsia="cs-CZ"/>
        </w:rPr>
        <w:lastRenderedPageBreak/>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69161EBC" w14:textId="77777777" w:rsidR="00FF3F0E" w:rsidRDefault="00FF3F0E" w:rsidP="00F01FED">
      <w:pPr>
        <w:spacing w:after="0" w:line="240" w:lineRule="auto"/>
        <w:ind w:left="360"/>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813AA4">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A030E3">
      <w:pPr>
        <w:numPr>
          <w:ilvl w:val="0"/>
          <w:numId w:val="13"/>
        </w:numPr>
        <w:spacing w:after="60" w:line="240" w:lineRule="auto"/>
        <w:ind w:left="901" w:hanging="35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813E6F4" w14:textId="34198E74" w:rsidR="00BB0BFA" w:rsidRPr="00BB0BFA" w:rsidRDefault="00BB0BFA" w:rsidP="00BB0BFA">
      <w:pPr>
        <w:pStyle w:val="Odstavecseseznamem"/>
        <w:numPr>
          <w:ilvl w:val="3"/>
          <w:numId w:val="6"/>
        </w:numPr>
        <w:tabs>
          <w:tab w:val="clear" w:pos="2880"/>
        </w:tabs>
        <w:spacing w:after="0" w:line="240" w:lineRule="auto"/>
        <w:ind w:left="1276" w:right="136"/>
        <w:jc w:val="both"/>
        <w:rPr>
          <w:rFonts w:eastAsia="Times New Roman" w:cs="Arial"/>
          <w:b/>
          <w:lang w:eastAsia="cs-CZ"/>
        </w:rPr>
      </w:pPr>
      <w:r w:rsidRPr="00BB0BFA">
        <w:rPr>
          <w:rFonts w:eastAsia="Times New Roman" w:cs="Arial"/>
          <w:b/>
          <w:lang w:eastAsia="cs-CZ"/>
        </w:rPr>
        <w:t>geologické práce,</w:t>
      </w:r>
    </w:p>
    <w:p w14:paraId="4E8FDE08" w14:textId="0E703117" w:rsidR="00BB0BFA" w:rsidRPr="00BB0BFA" w:rsidRDefault="00BB0BFA" w:rsidP="00BB0BFA">
      <w:pPr>
        <w:pStyle w:val="Odstavecseseznamem"/>
        <w:numPr>
          <w:ilvl w:val="3"/>
          <w:numId w:val="6"/>
        </w:numPr>
        <w:tabs>
          <w:tab w:val="clear" w:pos="2880"/>
        </w:tabs>
        <w:spacing w:after="0" w:line="240" w:lineRule="auto"/>
        <w:ind w:left="1276" w:right="136"/>
        <w:jc w:val="both"/>
        <w:rPr>
          <w:rFonts w:eastAsia="Times New Roman" w:cs="Arial"/>
          <w:b/>
          <w:lang w:eastAsia="cs-CZ"/>
        </w:rPr>
      </w:pPr>
      <w:r w:rsidRPr="00BB0BFA">
        <w:rPr>
          <w:rFonts w:eastAsia="Times New Roman" w:cs="Arial"/>
          <w:b/>
          <w:lang w:eastAsia="cs-CZ"/>
        </w:rPr>
        <w:t>projektová činnost ve výstavbě</w:t>
      </w:r>
      <w:r w:rsidRPr="00BB0BFA">
        <w:rPr>
          <w:rFonts w:eastAsia="Times New Roman" w:cs="Arial"/>
          <w:b/>
          <w:highlight w:val="green"/>
          <w:lang w:eastAsia="cs-CZ"/>
        </w:rPr>
        <w:t xml:space="preserve"> </w:t>
      </w:r>
    </w:p>
    <w:p w14:paraId="0045A603" w14:textId="77777777" w:rsidR="00BB0BFA" w:rsidRDefault="00BB0BFA" w:rsidP="00A030E3">
      <w:pPr>
        <w:numPr>
          <w:ilvl w:val="0"/>
          <w:numId w:val="13"/>
        </w:numPr>
        <w:spacing w:before="120" w:after="60" w:line="240" w:lineRule="auto"/>
        <w:ind w:left="941" w:hanging="357"/>
        <w:jc w:val="both"/>
        <w:rPr>
          <w:rFonts w:eastAsia="Times New Roman" w:cs="Times New Roman"/>
          <w:lang w:eastAsia="cs-CZ"/>
        </w:rPr>
      </w:pPr>
      <w:r>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66B4EFA0" w14:textId="3EBAF28C" w:rsidR="00BB0BFA" w:rsidRPr="00352237" w:rsidRDefault="00EE02B3" w:rsidP="00BB0BFA">
      <w:pPr>
        <w:numPr>
          <w:ilvl w:val="0"/>
          <w:numId w:val="13"/>
        </w:numPr>
        <w:autoSpaceDE w:val="0"/>
        <w:autoSpaceDN w:val="0"/>
        <w:spacing w:after="0" w:line="240" w:lineRule="auto"/>
        <w:jc w:val="both"/>
        <w:rPr>
          <w:rFonts w:eastAsia="Times New Roman" w:cs="Arial"/>
          <w:lang w:eastAsia="cs-CZ"/>
        </w:rPr>
      </w:pPr>
      <w:r w:rsidRPr="00C17316">
        <w:rPr>
          <w:rFonts w:eastAsia="Times New Roman" w:cs="Times New Roman"/>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607D311B" w14:textId="77777777" w:rsidR="00F01FED" w:rsidRDefault="00F01FED" w:rsidP="00F01FED">
      <w:pPr>
        <w:spacing w:after="0" w:line="240" w:lineRule="auto"/>
        <w:ind w:left="425"/>
        <w:jc w:val="both"/>
        <w:rPr>
          <w:rFonts w:eastAsia="Times New Roman" w:cs="Times New Roman"/>
          <w:lang w:eastAsia="cs-CZ"/>
        </w:rPr>
      </w:pPr>
    </w:p>
    <w:p w14:paraId="1DA2977C" w14:textId="77777777" w:rsidR="00A030E3" w:rsidRPr="00F01FED" w:rsidRDefault="00A030E3" w:rsidP="00F01FED">
      <w:pPr>
        <w:spacing w:after="0" w:line="240" w:lineRule="auto"/>
        <w:ind w:left="425"/>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A437F7">
      <w:pPr>
        <w:spacing w:after="120" w:line="240" w:lineRule="auto"/>
        <w:ind w:left="425"/>
        <w:jc w:val="both"/>
        <w:rPr>
          <w:rFonts w:eastAsia="Times New Roman" w:cs="Times New Roman"/>
          <w:lang w:eastAsia="cs-CZ"/>
        </w:rPr>
      </w:pPr>
      <w:r w:rsidRPr="00BB0BFA">
        <w:rPr>
          <w:rFonts w:eastAsia="Times New Roman" w:cs="Times New Roman"/>
          <w:lang w:eastAsia="cs-CZ"/>
        </w:rPr>
        <w:t>K prokázání splnění technické kvalifikace předloží dodavatel zadavateli následující doklady:</w:t>
      </w:r>
    </w:p>
    <w:p w14:paraId="4DA91A62" w14:textId="51D03F53" w:rsidR="00BB0BFA" w:rsidRPr="001E7DAE" w:rsidRDefault="00BB0BFA" w:rsidP="00A437F7">
      <w:pPr>
        <w:pStyle w:val="Odstavecseseznamem"/>
        <w:spacing w:after="120" w:line="240" w:lineRule="auto"/>
        <w:ind w:left="426"/>
        <w:jc w:val="both"/>
        <w:rPr>
          <w:rFonts w:ascii="Verdana" w:hAnsi="Verdana"/>
          <w:lang w:eastAsia="cs-CZ"/>
        </w:rPr>
      </w:pPr>
      <w:r w:rsidRPr="001E7DAE">
        <w:rPr>
          <w:rFonts w:ascii="Verdana" w:hAnsi="Verdana"/>
          <w:b/>
          <w:bCs/>
          <w:color w:val="000000"/>
          <w:lang w:eastAsia="cs-CZ"/>
        </w:rPr>
        <w:t>Seznam služeb</w:t>
      </w:r>
      <w:r w:rsidRPr="001E7DAE">
        <w:rPr>
          <w:rFonts w:ascii="Verdana" w:hAnsi="Verdana"/>
          <w:color w:val="000000"/>
          <w:lang w:eastAsia="cs-CZ"/>
        </w:rPr>
        <w:t xml:space="preserve"> poskytnutých dodavatelem v posledních </w:t>
      </w:r>
      <w:r w:rsidR="002465F4">
        <w:rPr>
          <w:rFonts w:ascii="Verdana" w:hAnsi="Verdana"/>
          <w:b/>
          <w:color w:val="000000"/>
          <w:lang w:eastAsia="cs-CZ"/>
        </w:rPr>
        <w:t>5</w:t>
      </w:r>
      <w:r w:rsidRPr="001E7DAE">
        <w:rPr>
          <w:rFonts w:ascii="Verdana" w:hAnsi="Verdana"/>
          <w:color w:val="000000"/>
          <w:lang w:eastAsia="cs-CZ"/>
        </w:rPr>
        <w:t xml:space="preserve"> letech. Tímto seznamem dodavatel prokáže, že v posledních </w:t>
      </w:r>
      <w:r w:rsidR="002465F4">
        <w:rPr>
          <w:rFonts w:ascii="Verdana" w:hAnsi="Verdana"/>
          <w:b/>
          <w:color w:val="000000"/>
          <w:lang w:eastAsia="cs-CZ"/>
        </w:rPr>
        <w:t>5</w:t>
      </w:r>
      <w:r w:rsidRPr="001E7DAE">
        <w:rPr>
          <w:rFonts w:ascii="Verdana" w:hAnsi="Verdana"/>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44AAD5DC" w14:textId="71B3834E" w:rsidR="00BB0BFA" w:rsidRDefault="00BB0BFA" w:rsidP="00A437F7">
      <w:pPr>
        <w:pStyle w:val="Bezmezer"/>
        <w:spacing w:after="120" w:line="240" w:lineRule="auto"/>
        <w:ind w:left="425"/>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w:t>
      </w:r>
      <w:r w:rsidR="002465F4">
        <w:rPr>
          <w:rFonts w:ascii="Verdana" w:hAnsi="Verdana"/>
          <w:lang w:eastAsia="cs-CZ"/>
        </w:rPr>
        <w:t xml:space="preserve">pěti </w:t>
      </w:r>
      <w:r w:rsidRPr="001E7DAE">
        <w:rPr>
          <w:rFonts w:ascii="Verdana" w:hAnsi="Verdana"/>
          <w:lang w:eastAsia="cs-CZ"/>
        </w:rPr>
        <w:t xml:space="preserve">letech vykonával činnost občasného odborného geotechnického dozoru alespoň na dvou dopravních stavbách (železničních nebo jiných dopravních stavbách) s hodnotou celkových investičních nákladů v součtu minimálně </w:t>
      </w:r>
      <w:r w:rsidRPr="00284F4B">
        <w:rPr>
          <w:rFonts w:ascii="Verdana" w:hAnsi="Verdana"/>
          <w:b/>
          <w:bCs/>
          <w:lang w:eastAsia="cs-CZ"/>
        </w:rPr>
        <w:t>3 000 000 000 Kč bez DPH</w:t>
      </w:r>
      <w:r w:rsidRPr="00284F4B">
        <w:rPr>
          <w:rFonts w:ascii="Verdana" w:hAnsi="Verdana"/>
          <w:lang w:eastAsia="cs-CZ"/>
        </w:rPr>
        <w:t xml:space="preserve">, přičemž hodnota celkových investičních nákladů jedné takové stavby musí činit alespoň </w:t>
      </w:r>
      <w:r w:rsidRPr="00284F4B">
        <w:rPr>
          <w:rFonts w:ascii="Verdana" w:hAnsi="Verdana"/>
          <w:b/>
          <w:bCs/>
          <w:lang w:eastAsia="cs-CZ"/>
        </w:rPr>
        <w:t>1 500 000 000 Kč bez DPH</w:t>
      </w:r>
      <w:r w:rsidRPr="00284F4B">
        <w:rPr>
          <w:rFonts w:ascii="Verdana" w:hAnsi="Verdana"/>
          <w:lang w:eastAsia="cs-CZ"/>
        </w:rPr>
        <w:t>.</w:t>
      </w:r>
    </w:p>
    <w:p w14:paraId="3962D51A" w14:textId="77777777" w:rsidR="00BB0BFA" w:rsidRDefault="00BB0BFA" w:rsidP="00A437F7">
      <w:pPr>
        <w:pStyle w:val="Bezmezer"/>
        <w:spacing w:after="120" w:line="240" w:lineRule="auto"/>
        <w:ind w:left="425"/>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2FB86C57" w14:textId="752EF6D2" w:rsidR="00F01FED" w:rsidRPr="00F01FED" w:rsidRDefault="00BB0BFA" w:rsidP="00A437F7">
      <w:pPr>
        <w:spacing w:after="120" w:line="240" w:lineRule="auto"/>
        <w:ind w:left="425"/>
        <w:jc w:val="both"/>
        <w:rPr>
          <w:rFonts w:eastAsia="Times New Roman" w:cs="Times New Roman"/>
          <w:lang w:eastAsia="cs-CZ"/>
        </w:rPr>
      </w:pPr>
      <w:r w:rsidRPr="001E7DAE">
        <w:rPr>
          <w:rFonts w:ascii="Verdana" w:hAnsi="Verdana"/>
          <w:lang w:eastAsia="cs-CZ"/>
        </w:rPr>
        <w:t xml:space="preserve">Skutečností rozhodnou pro počátek běhu </w:t>
      </w:r>
      <w:r w:rsidR="00A030E3">
        <w:rPr>
          <w:rFonts w:ascii="Verdana" w:hAnsi="Verdana"/>
          <w:lang w:eastAsia="cs-CZ"/>
        </w:rPr>
        <w:t>pěti</w:t>
      </w:r>
      <w:r w:rsidRPr="001E7DAE">
        <w:rPr>
          <w:rFonts w:ascii="Verdana" w:hAnsi="Verdana"/>
          <w:lang w:eastAsia="cs-CZ"/>
        </w:rPr>
        <w:t>leté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sidR="002465F4">
        <w:rPr>
          <w:rFonts w:ascii="Verdana" w:hAnsi="Verdana"/>
          <w:b/>
          <w:lang w:eastAsia="cs-CZ"/>
        </w:rPr>
        <w:t>5</w:t>
      </w:r>
      <w:r w:rsidRPr="001E7DAE">
        <w:rPr>
          <w:rFonts w:ascii="Verdana" w:hAnsi="Verdana"/>
          <w:lang w:eastAsia="cs-CZ"/>
        </w:rPr>
        <w:t xml:space="preserve"> let se považuje za splněnou, pokud byly služby v průběhu této doby dokončeny.</w:t>
      </w:r>
      <w:r w:rsidR="00F01FED" w:rsidRPr="00F01FED">
        <w:rPr>
          <w:rFonts w:eastAsia="Times New Roman" w:cs="Times New Roman"/>
          <w:b/>
          <w:lang w:eastAsia="cs-CZ"/>
        </w:rPr>
        <w:fldChar w:fldCharType="begin">
          <w:ffData>
            <w:name w:val="Text1"/>
            <w:enabled/>
            <w:calcOnExit w:val="0"/>
            <w:textInput>
              <w:type w:val="date"/>
              <w:format w:val="d.M.yyyy"/>
            </w:textInput>
          </w:ffData>
        </w:fldChar>
      </w:r>
      <w:r w:rsidR="00F01FED" w:rsidRPr="00F01FED">
        <w:rPr>
          <w:rFonts w:eastAsia="Times New Roman" w:cs="Times New Roman"/>
          <w:b/>
          <w:lang w:eastAsia="cs-CZ"/>
        </w:rPr>
        <w:instrText xml:space="preserve"> FORMTEXT </w:instrText>
      </w:r>
      <w:r w:rsidR="00F01FED" w:rsidRPr="00F01FED">
        <w:rPr>
          <w:rFonts w:eastAsia="Times New Roman" w:cs="Times New Roman"/>
          <w:b/>
          <w:lang w:eastAsia="cs-CZ"/>
        </w:rPr>
      </w:r>
      <w:r w:rsidR="00F01FED" w:rsidRPr="00F01FED">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fldChar w:fldCharType="end"/>
      </w:r>
    </w:p>
    <w:p w14:paraId="50A3267B" w14:textId="77777777" w:rsidR="00F907BC" w:rsidRPr="00CC6B07" w:rsidRDefault="00F01FED" w:rsidP="00A437F7">
      <w:pPr>
        <w:spacing w:before="120" w:after="120" w:line="240" w:lineRule="auto"/>
        <w:ind w:left="425"/>
        <w:jc w:val="both"/>
        <w:rPr>
          <w:rFonts w:eastAsia="Times New Roman" w:cs="Times New Roman"/>
          <w:lang w:eastAsia="cs-CZ"/>
        </w:rPr>
      </w:pPr>
      <w:r w:rsidRPr="00F907BC">
        <w:rPr>
          <w:rFonts w:eastAsia="Times New Roman" w:cs="Times New Roman"/>
          <w:lang w:eastAsia="cs-CZ"/>
        </w:rPr>
        <w:t>Zadavatel požaduje předložení seznamu personálu dodavatele</w:t>
      </w:r>
      <w:r w:rsidR="00BB0BFA" w:rsidRPr="00F907BC">
        <w:rPr>
          <w:rFonts w:eastAsia="Times New Roman" w:cs="Times New Roman"/>
          <w:lang w:eastAsia="cs-CZ"/>
        </w:rPr>
        <w:t>.</w:t>
      </w:r>
      <w:r w:rsidR="00F907BC" w:rsidRPr="00F907BC">
        <w:rPr>
          <w:rFonts w:eastAsia="Times New Roman" w:cs="Times New Roman"/>
          <w:lang w:eastAsia="cs-CZ"/>
        </w:rPr>
        <w:t xml:space="preserve"> </w:t>
      </w:r>
      <w:r w:rsidR="00F907BC"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912704F" w14:textId="77777777" w:rsidR="00F907BC" w:rsidRPr="00CC6B07" w:rsidRDefault="00F907BC" w:rsidP="00A437F7">
      <w:pPr>
        <w:spacing w:after="12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594EBA6" w14:textId="77777777" w:rsidR="00F907BC" w:rsidRPr="00CC6B07" w:rsidRDefault="00F907BC" w:rsidP="00A437F7">
      <w:pPr>
        <w:spacing w:after="12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4661B98F" w14:textId="77777777" w:rsidR="00F907BC" w:rsidRPr="00CC6B07" w:rsidRDefault="00F907BC" w:rsidP="00A437F7">
      <w:pPr>
        <w:spacing w:after="120" w:line="240" w:lineRule="auto"/>
        <w:ind w:left="425"/>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CC6B07">
        <w:rPr>
          <w:rFonts w:eastAsia="Times New Roman" w:cs="Times New Roman"/>
          <w:lang w:eastAsia="cs-CZ"/>
        </w:rPr>
        <w:t>z</w:t>
      </w:r>
      <w:proofErr w:type="gramEnd"/>
      <w:r w:rsidRPr="00CC6B07">
        <w:rPr>
          <w:rFonts w:eastAsia="Times New Roman" w:cs="Times New Roman"/>
          <w:lang w:eastAsia="cs-CZ"/>
        </w:rPr>
        <w:t xml:space="preserve"> dodavatelem předkládaných dokumentů):</w:t>
      </w:r>
    </w:p>
    <w:p w14:paraId="7B0B137A" w14:textId="77777777" w:rsidR="00F907BC" w:rsidRPr="00594CFA" w:rsidRDefault="00F907BC" w:rsidP="00C27949">
      <w:pPr>
        <w:spacing w:line="240" w:lineRule="auto"/>
        <w:ind w:left="426"/>
        <w:jc w:val="both"/>
        <w:rPr>
          <w:rFonts w:eastAsia="Times New Roman" w:cs="Times New Roman"/>
          <w:lang w:eastAsia="cs-CZ"/>
        </w:rPr>
      </w:pPr>
      <w:r w:rsidRPr="00594CFA">
        <w:rPr>
          <w:rFonts w:eastAsia="Times New Roman" w:cs="Times New Roman"/>
          <w:lang w:eastAsia="cs-CZ"/>
        </w:rPr>
        <w:t xml:space="preserve">Každá jednotlivá níže uvedená funkce člena personálu může být vykonávána pouze jako celek dodavatelem určenou fyzickou osobou (nelze </w:t>
      </w:r>
      <w:proofErr w:type="gramStart"/>
      <w:r w:rsidRPr="00594CFA">
        <w:rPr>
          <w:rFonts w:eastAsia="Times New Roman" w:cs="Times New Roman"/>
          <w:lang w:eastAsia="cs-CZ"/>
        </w:rPr>
        <w:t>ji</w:t>
      </w:r>
      <w:proofErr w:type="gramEnd"/>
      <w:r w:rsidRPr="00594CFA">
        <w:rPr>
          <w:rFonts w:eastAsia="Times New Roman" w:cs="Times New Roman"/>
          <w:lang w:eastAsia="cs-CZ"/>
        </w:rPr>
        <w:t xml:space="preserve"> jakkoliv rozdělit mezi více fyzických osob). Funkci specialista na geotechniku a zástupce specialisty na geotechniku však nelze takto sloučit, tyto funkce musí zastávat vždy odlišné fyzické osoby.</w:t>
      </w:r>
    </w:p>
    <w:p w14:paraId="0DC7B1F3" w14:textId="77777777" w:rsidR="00F907BC" w:rsidRDefault="00F907BC" w:rsidP="00F907BC">
      <w:pPr>
        <w:pStyle w:val="Odstavecseseznamem"/>
        <w:spacing w:after="0" w:line="240" w:lineRule="auto"/>
        <w:ind w:left="426" w:right="136"/>
        <w:jc w:val="both"/>
      </w:pPr>
      <w:r w:rsidRPr="001159C6">
        <w:lastRenderedPageBreak/>
        <w:t>Pro plnění této veřejné zakázky musí mít dodavatel k dispozici odborný personál, který splňuje následující podmínky:</w:t>
      </w:r>
    </w:p>
    <w:p w14:paraId="7DD7600F" w14:textId="41025D91" w:rsidR="00F01FED" w:rsidRPr="00F01FED" w:rsidRDefault="00F01FED" w:rsidP="00F01FED">
      <w:pPr>
        <w:spacing w:after="0" w:line="240" w:lineRule="auto"/>
        <w:ind w:left="426"/>
        <w:jc w:val="both"/>
        <w:rPr>
          <w:rFonts w:eastAsia="Times New Roman" w:cs="Times New Roman"/>
          <w:highlight w:val="green"/>
          <w:lang w:eastAsia="cs-CZ"/>
        </w:rPr>
      </w:pPr>
    </w:p>
    <w:p w14:paraId="55A4CA0B" w14:textId="77777777" w:rsidR="00F907BC" w:rsidRPr="00F907BC" w:rsidRDefault="00F907BC" w:rsidP="00F907BC">
      <w:pPr>
        <w:spacing w:after="0" w:line="240" w:lineRule="auto"/>
        <w:ind w:left="426"/>
        <w:jc w:val="both"/>
        <w:rPr>
          <w:rFonts w:ascii="Verdana" w:hAnsi="Verdana"/>
          <w:b/>
          <w:bCs/>
          <w:lang w:eastAsia="cs-CZ"/>
        </w:rPr>
      </w:pPr>
      <w:r w:rsidRPr="00F907BC">
        <w:rPr>
          <w:rFonts w:ascii="Verdana" w:hAnsi="Verdana"/>
          <w:b/>
          <w:bCs/>
          <w:lang w:eastAsia="cs-CZ"/>
        </w:rPr>
        <w:t>Seznam personálu</w:t>
      </w:r>
      <w:r w:rsidRPr="00F907BC">
        <w:rPr>
          <w:rFonts w:ascii="Verdana" w:hAnsi="Verdana"/>
          <w:lang w:eastAsia="cs-CZ"/>
        </w:rPr>
        <w:t xml:space="preserve"> </w:t>
      </w:r>
      <w:r w:rsidRPr="00F907BC">
        <w:rPr>
          <w:rFonts w:ascii="Verdana" w:hAnsi="Verdana"/>
          <w:color w:val="000000"/>
          <w:lang w:eastAsia="cs-CZ"/>
        </w:rPr>
        <w:t>dodavatele</w:t>
      </w:r>
      <w:r w:rsidRPr="00F907BC">
        <w:rPr>
          <w:rFonts w:ascii="Verdana" w:hAnsi="Verdana"/>
          <w:lang w:eastAsia="cs-CZ"/>
        </w:rPr>
        <w:t xml:space="preserve">, který se bude na plnění veřejné zakázky podílet. Každá jednotlivá níže uvedená funkce člena personálu může být vykonávána pouze jako celek dodavatelem určenou fyzickou osobou (nelze </w:t>
      </w:r>
      <w:proofErr w:type="gramStart"/>
      <w:r w:rsidRPr="00F907BC">
        <w:rPr>
          <w:rFonts w:ascii="Verdana" w:hAnsi="Verdana"/>
          <w:lang w:eastAsia="cs-CZ"/>
        </w:rPr>
        <w:t>ji</w:t>
      </w:r>
      <w:proofErr w:type="gramEnd"/>
      <w:r w:rsidRPr="00F907BC">
        <w:rPr>
          <w:rFonts w:ascii="Verdana" w:hAnsi="Verdana"/>
          <w:lang w:eastAsia="cs-CZ"/>
        </w:rPr>
        <w:t xml:space="preserve"> jakkoliv rozdělit mezi více fyzických osob). Funkci specialista na geotechniku a zástupce specialisty na geotechniku však nelze takto sloučit, tyto funkce musí zastávat vždy odlišné fyzické osoby.</w:t>
      </w:r>
    </w:p>
    <w:p w14:paraId="2DE7EDE6" w14:textId="77777777" w:rsidR="00F907BC" w:rsidRPr="00F907BC" w:rsidRDefault="00F907BC" w:rsidP="00F907BC">
      <w:pPr>
        <w:spacing w:after="0" w:line="240" w:lineRule="auto"/>
        <w:ind w:left="426"/>
        <w:jc w:val="both"/>
        <w:rPr>
          <w:rFonts w:ascii="Verdana" w:hAnsi="Verdana"/>
        </w:rPr>
      </w:pPr>
      <w:r w:rsidRPr="00F907BC">
        <w:rPr>
          <w:rFonts w:ascii="Verdana" w:hAnsi="Verdana"/>
        </w:rPr>
        <w:t>Pro plnění této veřejné zakázky musí mít dodavatel k dispozici odborný personál, který splňuje následující podmínky:</w:t>
      </w:r>
    </w:p>
    <w:p w14:paraId="359E6B98" w14:textId="77777777" w:rsidR="00F907BC" w:rsidRPr="001E7DAE" w:rsidRDefault="00F907BC" w:rsidP="00F907BC">
      <w:pPr>
        <w:pStyle w:val="Odstavecseseznamem"/>
        <w:spacing w:after="0" w:line="240" w:lineRule="auto"/>
        <w:ind w:left="1146"/>
        <w:jc w:val="both"/>
        <w:rPr>
          <w:rFonts w:ascii="Verdana" w:hAnsi="Verdana"/>
          <w:lang w:eastAsia="cs-CZ"/>
        </w:rPr>
      </w:pPr>
    </w:p>
    <w:p w14:paraId="1992744C" w14:textId="77777777" w:rsidR="00F907BC" w:rsidRPr="001E7DAE" w:rsidRDefault="00F907BC" w:rsidP="00F907BC">
      <w:pPr>
        <w:pStyle w:val="Bezmezer"/>
        <w:ind w:left="426"/>
        <w:jc w:val="both"/>
        <w:rPr>
          <w:rFonts w:ascii="Verdana" w:hAnsi="Verdana"/>
          <w:b/>
          <w:bCs/>
          <w:lang w:eastAsia="cs-CZ"/>
        </w:rPr>
      </w:pPr>
      <w:r w:rsidRPr="001E7DAE">
        <w:rPr>
          <w:rFonts w:ascii="Verdana" w:hAnsi="Verdana"/>
          <w:b/>
          <w:bCs/>
          <w:lang w:eastAsia="cs-CZ"/>
        </w:rPr>
        <w:t xml:space="preserve">a) specialista na geotechniku </w:t>
      </w:r>
    </w:p>
    <w:p w14:paraId="2284456D" w14:textId="13AE671E" w:rsidR="00F907BC" w:rsidRDefault="00F907BC" w:rsidP="00F907BC">
      <w:pPr>
        <w:pStyle w:val="Bezmezer"/>
        <w:ind w:left="426"/>
        <w:jc w:val="both"/>
        <w:rPr>
          <w:rFonts w:ascii="Verdana" w:hAnsi="Verdana"/>
          <w:lang w:eastAsia="cs-CZ"/>
        </w:rPr>
      </w:pPr>
      <w:r w:rsidRPr="001E7DAE">
        <w:rPr>
          <w:rFonts w:ascii="Verdana" w:hAnsi="Verdana"/>
          <w:lang w:eastAsia="cs-CZ"/>
        </w:rPr>
        <w:t xml:space="preserve">nejméně 3 roky praxe ve výkonu činnosti geotechnika; </w:t>
      </w:r>
      <w:r w:rsidRPr="00F907BC">
        <w:rPr>
          <w:rFonts w:ascii="Verdana" w:hAnsi="Verdana"/>
          <w:lang w:eastAsia="cs-CZ"/>
        </w:rPr>
        <w:t>VŠ vzdělání</w:t>
      </w:r>
      <w:r w:rsidRPr="001E7DAE">
        <w:rPr>
          <w:rFonts w:ascii="Verdana" w:hAnsi="Verdana"/>
          <w:lang w:eastAsia="cs-CZ"/>
        </w:rPr>
        <w:t>, autorizace v rozsahu dle § 5 odst. 3 písm. i) zákona č. 360/1992 Sb., tedy v oboru geotechnika;</w:t>
      </w:r>
    </w:p>
    <w:p w14:paraId="47683AD1" w14:textId="77777777" w:rsidR="00F907BC" w:rsidRPr="001E7DAE" w:rsidRDefault="00F907BC" w:rsidP="00F907BC">
      <w:pPr>
        <w:pStyle w:val="Bezmezer"/>
        <w:ind w:left="426"/>
        <w:jc w:val="both"/>
        <w:rPr>
          <w:rFonts w:ascii="Verdana" w:hAnsi="Verdana"/>
          <w:lang w:eastAsia="cs-CZ"/>
        </w:rPr>
      </w:pPr>
    </w:p>
    <w:p w14:paraId="04A54410" w14:textId="77777777" w:rsidR="00F907BC" w:rsidRPr="001E7DAE" w:rsidRDefault="00F907BC" w:rsidP="00F907BC">
      <w:pPr>
        <w:pStyle w:val="Bezmezer"/>
        <w:ind w:left="426"/>
        <w:jc w:val="both"/>
        <w:rPr>
          <w:rFonts w:ascii="Verdana" w:hAnsi="Verdana"/>
          <w:b/>
          <w:bCs/>
          <w:lang w:eastAsia="cs-CZ"/>
        </w:rPr>
      </w:pPr>
      <w:r w:rsidRPr="001E7DAE">
        <w:rPr>
          <w:rFonts w:ascii="Verdana" w:hAnsi="Verdana"/>
          <w:b/>
          <w:bCs/>
          <w:lang w:eastAsia="cs-CZ"/>
        </w:rPr>
        <w:t>b) zástupce specialisty na geotechniku</w:t>
      </w:r>
    </w:p>
    <w:p w14:paraId="5330CF03" w14:textId="77777777" w:rsidR="00F907BC" w:rsidRPr="001E7DAE" w:rsidRDefault="00F907BC" w:rsidP="00F907BC">
      <w:pPr>
        <w:pStyle w:val="Bezmezer"/>
        <w:ind w:left="426"/>
        <w:rPr>
          <w:rFonts w:ascii="Verdana" w:hAnsi="Verdana"/>
          <w:lang w:eastAsia="cs-CZ"/>
        </w:rPr>
      </w:pPr>
      <w:r w:rsidRPr="001E7DAE">
        <w:rPr>
          <w:rFonts w:ascii="Verdana" w:hAnsi="Verdana"/>
          <w:lang w:eastAsia="cs-CZ"/>
        </w:rPr>
        <w:t>nejméně 2 roky praxe ve výkonu činnosti geotechnika; autorizace v rozsahu dle § 5 odst. 3 písm. i) zákona č. 360/1992 Sb., tedy v oboru geotechnika</w:t>
      </w:r>
      <w:r>
        <w:rPr>
          <w:rFonts w:ascii="Verdana" w:hAnsi="Verdana"/>
          <w:lang w:eastAsia="cs-CZ"/>
        </w:rPr>
        <w:br/>
      </w:r>
    </w:p>
    <w:p w14:paraId="02A41021" w14:textId="2EAB3EF2" w:rsidR="00D1643C" w:rsidRPr="00BA672F" w:rsidRDefault="00D1643C" w:rsidP="00F907BC">
      <w:pPr>
        <w:numPr>
          <w:ilvl w:val="0"/>
          <w:numId w:val="19"/>
        </w:numPr>
        <w:spacing w:after="0" w:line="240" w:lineRule="auto"/>
        <w:ind w:left="993" w:hanging="284"/>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A437F7">
      <w:pPr>
        <w:pStyle w:val="Textbezslovn"/>
        <w:ind w:left="426"/>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A437F7">
      <w:pPr>
        <w:pStyle w:val="Odrka1-1"/>
        <w:ind w:left="426"/>
      </w:pPr>
      <w:r>
        <w:t>základní způsobilost podle čl. 9.1 písm. a) této Výzvy, a to způsobem uvedeným v čl. 9.1 této Výzvy.</w:t>
      </w:r>
    </w:p>
    <w:p w14:paraId="2362847A" w14:textId="13238A45" w:rsidR="00D1643C" w:rsidRDefault="00D1643C" w:rsidP="00A437F7">
      <w:pPr>
        <w:pStyle w:val="Textbezslovn"/>
        <w:spacing w:line="240" w:lineRule="auto"/>
        <w:ind w:left="426"/>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A437F7">
      <w:pPr>
        <w:pStyle w:val="Textbezslovn"/>
        <w:spacing w:line="240" w:lineRule="auto"/>
        <w:ind w:left="426"/>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A437F7">
      <w:pPr>
        <w:pStyle w:val="Textbezslovn"/>
        <w:spacing w:line="240" w:lineRule="auto"/>
        <w:ind w:left="426"/>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A437F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A437F7">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085710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C27949">
      <w:pPr>
        <w:spacing w:before="12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6CBC1F91" w:rsidR="00C6571A" w:rsidRPr="00C6571A" w:rsidRDefault="00C6571A" w:rsidP="00EE02B3">
      <w:pPr>
        <w:numPr>
          <w:ilvl w:val="0"/>
          <w:numId w:val="19"/>
        </w:numPr>
        <w:tabs>
          <w:tab w:val="left" w:pos="1985"/>
        </w:tabs>
        <w:spacing w:after="0" w:line="240" w:lineRule="auto"/>
        <w:ind w:left="851"/>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4E42C986" w:rsidR="00C6571A" w:rsidRPr="00FC44E6" w:rsidRDefault="00C6571A" w:rsidP="00EE02B3">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0A2CE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16A22F8B" w:rsidR="00C6571A" w:rsidRDefault="00C6571A" w:rsidP="00C27949">
      <w:pPr>
        <w:numPr>
          <w:ilvl w:val="0"/>
          <w:numId w:val="34"/>
        </w:numPr>
        <w:spacing w:before="120" w:line="240" w:lineRule="auto"/>
        <w:ind w:left="425" w:hanging="357"/>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w:t>
      </w:r>
      <w:r w:rsidRPr="00FC44E6">
        <w:rPr>
          <w:rFonts w:eastAsia="Times New Roman" w:cs="Times New Roman"/>
          <w:lang w:eastAsia="cs-CZ"/>
        </w:rPr>
        <w:lastRenderedPageBreak/>
        <w:t xml:space="preserve">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27949">
      <w:pPr>
        <w:spacing w:before="12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78B95D0" w14:textId="77777777" w:rsidR="00F01FED" w:rsidRDefault="00F01FED" w:rsidP="00F01FED">
      <w:pPr>
        <w:spacing w:after="0" w:line="240" w:lineRule="auto"/>
        <w:ind w:left="1701" w:hanging="1701"/>
        <w:jc w:val="both"/>
        <w:rPr>
          <w:rFonts w:eastAsia="Times New Roman" w:cs="Times New Roman"/>
          <w:color w:val="000000"/>
          <w:lang w:eastAsia="cs-CZ"/>
        </w:rPr>
      </w:pPr>
    </w:p>
    <w:p w14:paraId="39C2C3C4" w14:textId="77777777" w:rsidR="00A437F7" w:rsidRDefault="00A437F7" w:rsidP="00F01FED">
      <w:pPr>
        <w:spacing w:after="0" w:line="240" w:lineRule="auto"/>
        <w:ind w:left="1701" w:hanging="1701"/>
        <w:jc w:val="both"/>
        <w:rPr>
          <w:rFonts w:eastAsia="Times New Roman" w:cs="Times New Roman"/>
          <w:color w:val="000000"/>
          <w:lang w:eastAsia="cs-CZ"/>
        </w:rPr>
      </w:pPr>
    </w:p>
    <w:p w14:paraId="5BB52A96" w14:textId="77777777" w:rsidR="00A437F7" w:rsidRPr="00F01FED" w:rsidRDefault="00A437F7"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6DBDE8BA" w14:textId="77777777" w:rsidR="00F01FED" w:rsidRPr="00F01FED" w:rsidRDefault="00F01FED" w:rsidP="00EE02B3">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Default="00F01FED" w:rsidP="00F01FED">
      <w:pPr>
        <w:spacing w:after="0" w:line="240" w:lineRule="auto"/>
        <w:ind w:left="457"/>
        <w:jc w:val="both"/>
        <w:rPr>
          <w:rFonts w:eastAsia="Times New Roman" w:cs="Times New Roman"/>
          <w:highlight w:val="green"/>
          <w:lang w:eastAsia="cs-CZ"/>
        </w:rPr>
      </w:pPr>
    </w:p>
    <w:p w14:paraId="72BF8B66" w14:textId="77777777" w:rsidR="00EE02B3" w:rsidRPr="00F01FED" w:rsidRDefault="00EE02B3" w:rsidP="00F01FED">
      <w:pPr>
        <w:spacing w:after="0" w:line="240" w:lineRule="auto"/>
        <w:ind w:left="457"/>
        <w:jc w:val="both"/>
        <w:rPr>
          <w:rFonts w:eastAsia="Times New Roman" w:cs="Times New Roman"/>
          <w:highlight w:val="green"/>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813AA4"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813AA4">
        <w:rPr>
          <w:rFonts w:eastAsia="Times New Roman" w:cs="Times New Roman"/>
          <w:lang w:eastAsia="cs-CZ"/>
        </w:rPr>
        <w:t xml:space="preserve">v čl. </w:t>
      </w:r>
      <w:r w:rsidR="00CE6E64" w:rsidRPr="00813AA4">
        <w:rPr>
          <w:rFonts w:eastAsia="Times New Roman" w:cs="Times New Roman"/>
          <w:lang w:eastAsia="cs-CZ"/>
        </w:rPr>
        <w:t>3</w:t>
      </w:r>
      <w:r w:rsidRPr="00813AA4">
        <w:rPr>
          <w:rFonts w:eastAsia="Times New Roman" w:cs="Times New Roman"/>
          <w:lang w:eastAsia="cs-CZ"/>
        </w:rPr>
        <w:t>.</w:t>
      </w:r>
      <w:r w:rsidR="00CE6E64" w:rsidRPr="00813AA4">
        <w:rPr>
          <w:rFonts w:eastAsia="Times New Roman" w:cs="Times New Roman"/>
          <w:lang w:eastAsia="cs-CZ"/>
        </w:rPr>
        <w:t xml:space="preserve">3 </w:t>
      </w:r>
      <w:r w:rsidRPr="00813AA4">
        <w:rPr>
          <w:rFonts w:eastAsia="Times New Roman" w:cs="Times New Roman"/>
          <w:lang w:eastAsia="cs-CZ"/>
        </w:rPr>
        <w:t>závazného vzoru smlouvy.</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3EB0BCB" w14:textId="77777777" w:rsidR="00813AA4" w:rsidRPr="00F01FED" w:rsidRDefault="00813AA4"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Default="00F01FED" w:rsidP="00F01FED">
      <w:pPr>
        <w:spacing w:after="0" w:line="240" w:lineRule="auto"/>
        <w:ind w:left="1701" w:hanging="1701"/>
        <w:jc w:val="both"/>
        <w:rPr>
          <w:rFonts w:eastAsia="Times New Roman" w:cs="Times New Roman"/>
          <w:color w:val="000000"/>
          <w:lang w:eastAsia="cs-CZ"/>
        </w:rPr>
      </w:pPr>
    </w:p>
    <w:p w14:paraId="4C9B8D11" w14:textId="77777777" w:rsidR="00A437F7" w:rsidRPr="00F01FED" w:rsidRDefault="00A437F7" w:rsidP="00F01FED">
      <w:pPr>
        <w:spacing w:after="0" w:line="240" w:lineRule="auto"/>
        <w:ind w:left="1701" w:hanging="1701"/>
        <w:jc w:val="both"/>
        <w:rPr>
          <w:rFonts w:eastAsia="Times New Roman" w:cs="Times New Roman"/>
          <w:color w:val="000000"/>
          <w:lang w:eastAsia="cs-CZ"/>
        </w:rPr>
      </w:pPr>
    </w:p>
    <w:p w14:paraId="4FCE1786" w14:textId="1AD57553"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813AA4">
        <w:rPr>
          <w:rFonts w:cs="Arial"/>
          <w:b/>
        </w:rPr>
        <w:t>Nabídky lze podat v termínu, který je uveden na profilu zadavatele:</w:t>
      </w:r>
      <w:r w:rsidRPr="00813AA4">
        <w:rPr>
          <w:rFonts w:cs="Arial"/>
        </w:rPr>
        <w:t xml:space="preserve"> </w:t>
      </w:r>
      <w:hyperlink r:id="rId15" w:history="1">
        <w:r w:rsidRPr="00813AA4">
          <w:rPr>
            <w:rStyle w:val="Hypertextovodkaz"/>
            <w:rFonts w:cs="Arial"/>
            <w:b/>
            <w:bCs/>
            <w:lang w:eastAsia="cs-CZ"/>
          </w:rPr>
          <w:t>https://zakazky.spravazeleznic.cz/</w:t>
        </w:r>
      </w:hyperlink>
      <w:r w:rsidRPr="00813AA4">
        <w:rPr>
          <w:rFonts w:cs="Arial"/>
          <w:b/>
        </w:rPr>
        <w:t>.</w:t>
      </w:r>
    </w:p>
    <w:p w14:paraId="1603AF8B" w14:textId="6BC3D775" w:rsidR="00F01FED" w:rsidRPr="00F01FED" w:rsidRDefault="00F01FED" w:rsidP="00813AA4">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63208379" w14:textId="77777777" w:rsid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0A2CE0"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0A2CE0">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0A2CE0">
        <w:rPr>
          <w:rFonts w:eastAsia="Calibri" w:cs="Times New Roman"/>
          <w:lang w:eastAsia="cs-CZ"/>
        </w:rPr>
        <w:t xml:space="preserve">čl. </w:t>
      </w:r>
      <w:r w:rsidR="00CF65EE" w:rsidRPr="000A2CE0">
        <w:rPr>
          <w:rFonts w:eastAsia="Calibri" w:cs="Times New Roman"/>
          <w:lang w:eastAsia="cs-CZ"/>
        </w:rPr>
        <w:t>3.3</w:t>
      </w:r>
      <w:r w:rsidRPr="000A2CE0">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715A589B" w14:textId="77777777" w:rsidR="00D36485" w:rsidRDefault="00D36485"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813AA4">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813AA4">
        <w:rPr>
          <w:rFonts w:eastAsia="Times New Roman" w:cs="Times New Roman"/>
          <w:lang w:eastAsia="cs-CZ"/>
        </w:rPr>
        <w:lastRenderedPageBreak/>
        <w:t xml:space="preserve">Tato nabídková cena bude doložena i příslušnou </w:t>
      </w:r>
      <w:r w:rsidRPr="00813AA4">
        <w:rPr>
          <w:rFonts w:eastAsia="Times New Roman" w:cs="Times New Roman"/>
          <w:b/>
          <w:lang w:eastAsia="cs-CZ"/>
        </w:rPr>
        <w:t>cenovou kalkulací</w:t>
      </w:r>
      <w:r w:rsidRPr="00813AA4">
        <w:rPr>
          <w:rFonts w:eastAsia="Times New Roman" w:cs="Times New Roman"/>
          <w:lang w:eastAsia="cs-CZ"/>
        </w:rPr>
        <w:t xml:space="preserve"> v měrných jednotkách, vztahujících se k předmětu zakázky (např. </w:t>
      </w:r>
      <w:proofErr w:type="gramStart"/>
      <w:r w:rsidRPr="00813AA4">
        <w:rPr>
          <w:rFonts w:eastAsia="Times New Roman" w:cs="Times New Roman"/>
          <w:lang w:eastAsia="cs-CZ"/>
        </w:rPr>
        <w:t>položka - druh</w:t>
      </w:r>
      <w:proofErr w:type="gramEnd"/>
      <w:r w:rsidRPr="00813AA4">
        <w:rPr>
          <w:rFonts w:eastAsia="Times New Roman" w:cs="Times New Roman"/>
          <w:lang w:eastAsia="cs-CZ"/>
        </w:rPr>
        <w:t xml:space="preserve">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FC09616"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w:t>
      </w:r>
      <w:r w:rsidR="00F01FED" w:rsidRPr="00F01FED">
        <w:rPr>
          <w:rFonts w:eastAsia="Times New Roman" w:cs="Times New Roman"/>
          <w:lang w:eastAsia="cs-CZ"/>
        </w:rPr>
        <w:lastRenderedPageBreak/>
        <w:t xml:space="preserve">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A8A9A14"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813AA4">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B810D5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813AA4">
        <w:rPr>
          <w:rFonts w:eastAsia="Times New Roman" w:cs="Times New Roman"/>
          <w:lang w:eastAsia="cs-CZ"/>
        </w:rPr>
        <w:t>režim veřejné zakázky</w:t>
      </w:r>
      <w:r w:rsidR="00813AA4" w:rsidRPr="00813AA4">
        <w:rPr>
          <w:rFonts w:eastAsia="Times New Roman" w:cs="Times New Roman"/>
          <w:lang w:eastAsia="cs-CZ"/>
        </w:rPr>
        <w:t>,</w:t>
      </w:r>
      <w:r w:rsidRPr="00813AA4">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543CE471"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lastRenderedPageBreak/>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3F14A90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6A5538D"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r w:rsidRPr="00F01FED">
        <w:rPr>
          <w:rFonts w:eastAsia="Times New Roman" w:cs="Times New Roman"/>
          <w:lang w:eastAsia="cs-CZ"/>
        </w:rPr>
        <w:lastRenderedPageBreak/>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0EE5565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3AA8E22F" w14:textId="77777777" w:rsidR="00C9143D" w:rsidRDefault="00F36973" w:rsidP="00C9143D">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0A2CE0">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w:t>
      </w:r>
      <w:r w:rsidRPr="007D39F2">
        <w:rPr>
          <w:rFonts w:eastAsia="Verdana" w:cstheme="majorBidi"/>
          <w:noProof/>
          <w:szCs w:val="26"/>
        </w:rPr>
        <w:lastRenderedPageBreak/>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5D693EB" w:rsidR="00737620" w:rsidRDefault="00737620" w:rsidP="00737620">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425D2CE7" w14:textId="77777777" w:rsidR="000A2CE0" w:rsidRDefault="000A2CE0"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4B83FCA4" w:rsidR="00D36888" w:rsidRPr="000B6541" w:rsidRDefault="00D36888" w:rsidP="00D36888">
      <w:pPr>
        <w:spacing w:after="120"/>
        <w:jc w:val="both"/>
      </w:pPr>
      <w:r w:rsidRPr="000B6541">
        <w:t xml:space="preserve">Řádně jsme se seznámili se zněním zadávacích podmínek veřejné zakázky s názvem </w:t>
      </w:r>
      <w:r w:rsidR="000A2CE0">
        <w:t>„</w:t>
      </w:r>
      <w:r w:rsidR="000A2CE0">
        <w:rPr>
          <w:rStyle w:val="Nadpisvtabulce"/>
        </w:rPr>
        <w:t>Modernizace železničního uzlu Česká Třebová“</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21800868"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150A3" w14:textId="77777777" w:rsidR="009671AD" w:rsidRDefault="009671AD" w:rsidP="00962258">
      <w:pPr>
        <w:spacing w:after="0" w:line="240" w:lineRule="auto"/>
      </w:pPr>
      <w:r>
        <w:separator/>
      </w:r>
    </w:p>
  </w:endnote>
  <w:endnote w:type="continuationSeparator" w:id="0">
    <w:p w14:paraId="409736E7" w14:textId="77777777" w:rsidR="009671AD" w:rsidRDefault="009671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78B84" w14:textId="77777777" w:rsidR="009671AD" w:rsidRDefault="009671AD" w:rsidP="00962258">
      <w:pPr>
        <w:spacing w:after="0" w:line="240" w:lineRule="auto"/>
      </w:pPr>
      <w:r>
        <w:separator/>
      </w:r>
    </w:p>
  </w:footnote>
  <w:footnote w:type="continuationSeparator" w:id="0">
    <w:p w14:paraId="248EF640" w14:textId="77777777" w:rsidR="009671AD" w:rsidRDefault="009671AD"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3"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52068520">
    <w:abstractNumId w:val="11"/>
  </w:num>
  <w:num w:numId="2" w16cid:durableId="906502240">
    <w:abstractNumId w:val="2"/>
  </w:num>
  <w:num w:numId="3" w16cid:durableId="860359675">
    <w:abstractNumId w:val="18"/>
  </w:num>
  <w:num w:numId="4" w16cid:durableId="1047608175">
    <w:abstractNumId w:val="34"/>
  </w:num>
  <w:num w:numId="5" w16cid:durableId="1469857494">
    <w:abstractNumId w:val="0"/>
  </w:num>
  <w:num w:numId="6" w16cid:durableId="1682968662">
    <w:abstractNumId w:val="23"/>
  </w:num>
  <w:num w:numId="7" w16cid:durableId="1144009854">
    <w:abstractNumId w:val="33"/>
  </w:num>
  <w:num w:numId="8" w16cid:durableId="1620989250">
    <w:abstractNumId w:val="35"/>
  </w:num>
  <w:num w:numId="9" w16cid:durableId="175118061">
    <w:abstractNumId w:val="24"/>
  </w:num>
  <w:num w:numId="10" w16cid:durableId="847254917">
    <w:abstractNumId w:val="27"/>
  </w:num>
  <w:num w:numId="11" w16cid:durableId="1971016255">
    <w:abstractNumId w:val="19"/>
  </w:num>
  <w:num w:numId="12" w16cid:durableId="523206404">
    <w:abstractNumId w:val="10"/>
  </w:num>
  <w:num w:numId="13" w16cid:durableId="1990280890">
    <w:abstractNumId w:val="25"/>
  </w:num>
  <w:num w:numId="14" w16cid:durableId="304893066">
    <w:abstractNumId w:val="4"/>
  </w:num>
  <w:num w:numId="15" w16cid:durableId="852836963">
    <w:abstractNumId w:val="16"/>
  </w:num>
  <w:num w:numId="16" w16cid:durableId="996298026">
    <w:abstractNumId w:val="12"/>
  </w:num>
  <w:num w:numId="17" w16cid:durableId="1488782006">
    <w:abstractNumId w:val="20"/>
  </w:num>
  <w:num w:numId="18" w16cid:durableId="547030708">
    <w:abstractNumId w:val="39"/>
  </w:num>
  <w:num w:numId="19" w16cid:durableId="830022234">
    <w:abstractNumId w:val="26"/>
  </w:num>
  <w:num w:numId="20" w16cid:durableId="132525087">
    <w:abstractNumId w:val="9"/>
  </w:num>
  <w:num w:numId="21" w16cid:durableId="1615166448">
    <w:abstractNumId w:val="32"/>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1"/>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29"/>
  </w:num>
  <w:num w:numId="26" w16cid:durableId="1659189064">
    <w:abstractNumId w:val="13"/>
  </w:num>
  <w:num w:numId="27" w16cid:durableId="805199001">
    <w:abstractNumId w:val="30"/>
  </w:num>
  <w:num w:numId="28" w16cid:durableId="1188911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8"/>
  </w:num>
  <w:num w:numId="31" w16cid:durableId="1875340362">
    <w:abstractNumId w:val="5"/>
  </w:num>
  <w:num w:numId="32" w16cid:durableId="1275021742">
    <w:abstractNumId w:val="3"/>
  </w:num>
  <w:num w:numId="33" w16cid:durableId="657537527">
    <w:abstractNumId w:val="31"/>
  </w:num>
  <w:num w:numId="34" w16cid:durableId="631860592">
    <w:abstractNumId w:val="7"/>
  </w:num>
  <w:num w:numId="35" w16cid:durableId="609750054">
    <w:abstractNumId w:val="38"/>
  </w:num>
  <w:num w:numId="36" w16cid:durableId="1196500433">
    <w:abstractNumId w:val="21"/>
  </w:num>
  <w:num w:numId="37" w16cid:durableId="1555386040">
    <w:abstractNumId w:val="21"/>
  </w:num>
  <w:num w:numId="38" w16cid:durableId="1583100128">
    <w:abstractNumId w:val="1"/>
  </w:num>
  <w:num w:numId="39" w16cid:durableId="912205101">
    <w:abstractNumId w:val="22"/>
  </w:num>
  <w:num w:numId="40" w16cid:durableId="1016805807">
    <w:abstractNumId w:val="37"/>
  </w:num>
  <w:num w:numId="41" w16cid:durableId="1959215234">
    <w:abstractNumId w:val="17"/>
    <w:lvlOverride w:ilvl="0">
      <w:startOverride w:val="1"/>
    </w:lvlOverride>
  </w:num>
  <w:num w:numId="42" w16cid:durableId="1162163898">
    <w:abstractNumId w:val="15"/>
  </w:num>
  <w:num w:numId="43" w16cid:durableId="1642802477">
    <w:abstractNumId w:val="14"/>
  </w:num>
  <w:num w:numId="44" w16cid:durableId="1583640496">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13729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5060380">
    <w:abstractNumId w:val="8"/>
  </w:num>
  <w:num w:numId="47" w16cid:durableId="810026565">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17D1F"/>
    <w:rsid w:val="00033432"/>
    <w:rsid w:val="000335CC"/>
    <w:rsid w:val="00033755"/>
    <w:rsid w:val="00043156"/>
    <w:rsid w:val="000715D2"/>
    <w:rsid w:val="00072C1E"/>
    <w:rsid w:val="00076065"/>
    <w:rsid w:val="000A2CE0"/>
    <w:rsid w:val="000A4A29"/>
    <w:rsid w:val="000A71D4"/>
    <w:rsid w:val="000B5787"/>
    <w:rsid w:val="000B6C7E"/>
    <w:rsid w:val="000B7907"/>
    <w:rsid w:val="000C0429"/>
    <w:rsid w:val="000C0877"/>
    <w:rsid w:val="000C45E8"/>
    <w:rsid w:val="000C7E81"/>
    <w:rsid w:val="000D7214"/>
    <w:rsid w:val="000D7F1B"/>
    <w:rsid w:val="00102CA9"/>
    <w:rsid w:val="00114472"/>
    <w:rsid w:val="00131F6A"/>
    <w:rsid w:val="001426A2"/>
    <w:rsid w:val="00144379"/>
    <w:rsid w:val="0014572A"/>
    <w:rsid w:val="00156112"/>
    <w:rsid w:val="0016689B"/>
    <w:rsid w:val="00170EC5"/>
    <w:rsid w:val="001747C1"/>
    <w:rsid w:val="00180FD3"/>
    <w:rsid w:val="00181404"/>
    <w:rsid w:val="0018596A"/>
    <w:rsid w:val="001961D7"/>
    <w:rsid w:val="001A44D0"/>
    <w:rsid w:val="001A6F12"/>
    <w:rsid w:val="001B69C2"/>
    <w:rsid w:val="001B6D26"/>
    <w:rsid w:val="001B7698"/>
    <w:rsid w:val="001C34AE"/>
    <w:rsid w:val="001C4DA0"/>
    <w:rsid w:val="00207DF5"/>
    <w:rsid w:val="0023192B"/>
    <w:rsid w:val="00245C20"/>
    <w:rsid w:val="002465F4"/>
    <w:rsid w:val="00267369"/>
    <w:rsid w:val="0026785D"/>
    <w:rsid w:val="002A1EFE"/>
    <w:rsid w:val="002C31BF"/>
    <w:rsid w:val="002E0CD7"/>
    <w:rsid w:val="002E65F6"/>
    <w:rsid w:val="002F026B"/>
    <w:rsid w:val="002F1459"/>
    <w:rsid w:val="002F578B"/>
    <w:rsid w:val="00306259"/>
    <w:rsid w:val="00330768"/>
    <w:rsid w:val="00357BC6"/>
    <w:rsid w:val="0037111D"/>
    <w:rsid w:val="00373A5D"/>
    <w:rsid w:val="003937FF"/>
    <w:rsid w:val="003956C6"/>
    <w:rsid w:val="003A1D19"/>
    <w:rsid w:val="003E6B9A"/>
    <w:rsid w:val="003E75CE"/>
    <w:rsid w:val="003F5AA2"/>
    <w:rsid w:val="00413630"/>
    <w:rsid w:val="0041380F"/>
    <w:rsid w:val="00444A5C"/>
    <w:rsid w:val="00450F07"/>
    <w:rsid w:val="00453CD3"/>
    <w:rsid w:val="00455BC7"/>
    <w:rsid w:val="00460660"/>
    <w:rsid w:val="004609D5"/>
    <w:rsid w:val="00460CCB"/>
    <w:rsid w:val="004669F2"/>
    <w:rsid w:val="0047450E"/>
    <w:rsid w:val="00477370"/>
    <w:rsid w:val="00483F34"/>
    <w:rsid w:val="00486107"/>
    <w:rsid w:val="004901A1"/>
    <w:rsid w:val="00491827"/>
    <w:rsid w:val="004926B0"/>
    <w:rsid w:val="004A7C69"/>
    <w:rsid w:val="004B2C6F"/>
    <w:rsid w:val="004C4399"/>
    <w:rsid w:val="004C69ED"/>
    <w:rsid w:val="004C787C"/>
    <w:rsid w:val="004F4B9B"/>
    <w:rsid w:val="00501654"/>
    <w:rsid w:val="00505BDA"/>
    <w:rsid w:val="00511AB9"/>
    <w:rsid w:val="00523EA7"/>
    <w:rsid w:val="00526E3B"/>
    <w:rsid w:val="00541786"/>
    <w:rsid w:val="00542527"/>
    <w:rsid w:val="00551D1F"/>
    <w:rsid w:val="00553375"/>
    <w:rsid w:val="005658A6"/>
    <w:rsid w:val="005720E7"/>
    <w:rsid w:val="005722BB"/>
    <w:rsid w:val="005736B7"/>
    <w:rsid w:val="00575E5A"/>
    <w:rsid w:val="00580594"/>
    <w:rsid w:val="005805E0"/>
    <w:rsid w:val="00584E2A"/>
    <w:rsid w:val="005919B4"/>
    <w:rsid w:val="00596C7E"/>
    <w:rsid w:val="005A64E9"/>
    <w:rsid w:val="005B5EE9"/>
    <w:rsid w:val="005D6A5D"/>
    <w:rsid w:val="005D736F"/>
    <w:rsid w:val="005E0F20"/>
    <w:rsid w:val="005F01E0"/>
    <w:rsid w:val="005F2CFF"/>
    <w:rsid w:val="005F6805"/>
    <w:rsid w:val="006007BE"/>
    <w:rsid w:val="006104F6"/>
    <w:rsid w:val="0061068E"/>
    <w:rsid w:val="00611563"/>
    <w:rsid w:val="00621F7A"/>
    <w:rsid w:val="0063427B"/>
    <w:rsid w:val="006400AF"/>
    <w:rsid w:val="006456CC"/>
    <w:rsid w:val="00660AD3"/>
    <w:rsid w:val="006664C5"/>
    <w:rsid w:val="006701EE"/>
    <w:rsid w:val="006741F3"/>
    <w:rsid w:val="0067766B"/>
    <w:rsid w:val="00694044"/>
    <w:rsid w:val="006974BB"/>
    <w:rsid w:val="006A5570"/>
    <w:rsid w:val="006A689C"/>
    <w:rsid w:val="006B3D79"/>
    <w:rsid w:val="006E0578"/>
    <w:rsid w:val="006E1194"/>
    <w:rsid w:val="006E314D"/>
    <w:rsid w:val="006E7F06"/>
    <w:rsid w:val="006F27E1"/>
    <w:rsid w:val="006F5764"/>
    <w:rsid w:val="00710723"/>
    <w:rsid w:val="00723ED1"/>
    <w:rsid w:val="00735ED4"/>
    <w:rsid w:val="00737620"/>
    <w:rsid w:val="00743525"/>
    <w:rsid w:val="007531A0"/>
    <w:rsid w:val="0076286B"/>
    <w:rsid w:val="00764595"/>
    <w:rsid w:val="00766846"/>
    <w:rsid w:val="0077673A"/>
    <w:rsid w:val="007846E1"/>
    <w:rsid w:val="007B3917"/>
    <w:rsid w:val="007B570C"/>
    <w:rsid w:val="007C4324"/>
    <w:rsid w:val="007D73EC"/>
    <w:rsid w:val="007E4A6E"/>
    <w:rsid w:val="007F56A7"/>
    <w:rsid w:val="00807DD0"/>
    <w:rsid w:val="00813AA4"/>
    <w:rsid w:val="00813F11"/>
    <w:rsid w:val="0083049F"/>
    <w:rsid w:val="00832B4A"/>
    <w:rsid w:val="00844BE9"/>
    <w:rsid w:val="008474D5"/>
    <w:rsid w:val="00852623"/>
    <w:rsid w:val="00866BEB"/>
    <w:rsid w:val="00873EEC"/>
    <w:rsid w:val="008815A0"/>
    <w:rsid w:val="00891334"/>
    <w:rsid w:val="008A3568"/>
    <w:rsid w:val="008C18B9"/>
    <w:rsid w:val="008D03B9"/>
    <w:rsid w:val="008D5ABC"/>
    <w:rsid w:val="008E7782"/>
    <w:rsid w:val="008F13B4"/>
    <w:rsid w:val="008F18D6"/>
    <w:rsid w:val="00904780"/>
    <w:rsid w:val="009113A8"/>
    <w:rsid w:val="00911A4E"/>
    <w:rsid w:val="00922385"/>
    <w:rsid w:val="009223DF"/>
    <w:rsid w:val="00936091"/>
    <w:rsid w:val="00940D8A"/>
    <w:rsid w:val="00962258"/>
    <w:rsid w:val="009671AD"/>
    <w:rsid w:val="009678B7"/>
    <w:rsid w:val="00971595"/>
    <w:rsid w:val="0098042A"/>
    <w:rsid w:val="00982411"/>
    <w:rsid w:val="00982E5E"/>
    <w:rsid w:val="00991C88"/>
    <w:rsid w:val="00992D9C"/>
    <w:rsid w:val="00996CB8"/>
    <w:rsid w:val="009A5449"/>
    <w:rsid w:val="009A7568"/>
    <w:rsid w:val="009B028A"/>
    <w:rsid w:val="009B2E97"/>
    <w:rsid w:val="009B72CC"/>
    <w:rsid w:val="009C2B8D"/>
    <w:rsid w:val="009E07F4"/>
    <w:rsid w:val="009F392E"/>
    <w:rsid w:val="009F5D3E"/>
    <w:rsid w:val="00A02B1A"/>
    <w:rsid w:val="00A030E3"/>
    <w:rsid w:val="00A11738"/>
    <w:rsid w:val="00A13F8B"/>
    <w:rsid w:val="00A167B8"/>
    <w:rsid w:val="00A2158A"/>
    <w:rsid w:val="00A437F7"/>
    <w:rsid w:val="00A44328"/>
    <w:rsid w:val="00A6177B"/>
    <w:rsid w:val="00A66136"/>
    <w:rsid w:val="00A67518"/>
    <w:rsid w:val="00AA2C29"/>
    <w:rsid w:val="00AA4CBB"/>
    <w:rsid w:val="00AA65FA"/>
    <w:rsid w:val="00AA7351"/>
    <w:rsid w:val="00AB0B21"/>
    <w:rsid w:val="00AB78AA"/>
    <w:rsid w:val="00AD056F"/>
    <w:rsid w:val="00AD2773"/>
    <w:rsid w:val="00AD6731"/>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0BFA"/>
    <w:rsid w:val="00BB3740"/>
    <w:rsid w:val="00BD1C1E"/>
    <w:rsid w:val="00BD3951"/>
    <w:rsid w:val="00BD4EB1"/>
    <w:rsid w:val="00BD7E91"/>
    <w:rsid w:val="00BF1F19"/>
    <w:rsid w:val="00BF374D"/>
    <w:rsid w:val="00C02D0A"/>
    <w:rsid w:val="00C03A6E"/>
    <w:rsid w:val="00C17519"/>
    <w:rsid w:val="00C27949"/>
    <w:rsid w:val="00C30759"/>
    <w:rsid w:val="00C35196"/>
    <w:rsid w:val="00C35F25"/>
    <w:rsid w:val="00C44F6A"/>
    <w:rsid w:val="00C6571A"/>
    <w:rsid w:val="00C727E5"/>
    <w:rsid w:val="00C8207D"/>
    <w:rsid w:val="00C8209B"/>
    <w:rsid w:val="00C9143D"/>
    <w:rsid w:val="00C94497"/>
    <w:rsid w:val="00C97609"/>
    <w:rsid w:val="00CB687E"/>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163D"/>
    <w:rsid w:val="00D63009"/>
    <w:rsid w:val="00D831A3"/>
    <w:rsid w:val="00D902AD"/>
    <w:rsid w:val="00D903E7"/>
    <w:rsid w:val="00DA6FFE"/>
    <w:rsid w:val="00DC3110"/>
    <w:rsid w:val="00DC6ABD"/>
    <w:rsid w:val="00DD46F3"/>
    <w:rsid w:val="00DD58A6"/>
    <w:rsid w:val="00DD7B26"/>
    <w:rsid w:val="00DE56F2"/>
    <w:rsid w:val="00DF0C85"/>
    <w:rsid w:val="00DF116D"/>
    <w:rsid w:val="00DF48C3"/>
    <w:rsid w:val="00DF687A"/>
    <w:rsid w:val="00E052A1"/>
    <w:rsid w:val="00E11CF3"/>
    <w:rsid w:val="00E824F1"/>
    <w:rsid w:val="00E939FD"/>
    <w:rsid w:val="00EA26ED"/>
    <w:rsid w:val="00EB104F"/>
    <w:rsid w:val="00ED14BD"/>
    <w:rsid w:val="00ED71E3"/>
    <w:rsid w:val="00EE02B3"/>
    <w:rsid w:val="00EE3119"/>
    <w:rsid w:val="00F01440"/>
    <w:rsid w:val="00F01F4A"/>
    <w:rsid w:val="00F01FED"/>
    <w:rsid w:val="00F050D1"/>
    <w:rsid w:val="00F12DEC"/>
    <w:rsid w:val="00F1715C"/>
    <w:rsid w:val="00F310F8"/>
    <w:rsid w:val="00F328FD"/>
    <w:rsid w:val="00F35939"/>
    <w:rsid w:val="00F36973"/>
    <w:rsid w:val="00F45607"/>
    <w:rsid w:val="00F50EFC"/>
    <w:rsid w:val="00F512D8"/>
    <w:rsid w:val="00F64786"/>
    <w:rsid w:val="00F659EB"/>
    <w:rsid w:val="00F71D74"/>
    <w:rsid w:val="00F80186"/>
    <w:rsid w:val="00F804A7"/>
    <w:rsid w:val="00F862D6"/>
    <w:rsid w:val="00F86BA6"/>
    <w:rsid w:val="00F907BC"/>
    <w:rsid w:val="00F90A56"/>
    <w:rsid w:val="00F96B5F"/>
    <w:rsid w:val="00FA49B3"/>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semiHidden/>
    <w:unhideWhenUsed/>
    <w:rsid w:val="00306259"/>
    <w:pPr>
      <w:spacing w:after="120" w:line="480" w:lineRule="auto"/>
    </w:pPr>
  </w:style>
  <w:style w:type="character" w:customStyle="1" w:styleId="Zkladntext2Char">
    <w:name w:val="Základní text 2 Char"/>
    <w:basedOn w:val="Standardnpsmoodstavce"/>
    <w:link w:val="Zkladntext2"/>
    <w:uiPriority w:val="99"/>
    <w:semiHidden/>
    <w:rsid w:val="00306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04718104">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TotalTime>
  <Pages>22</Pages>
  <Words>10554</Words>
  <Characters>62273</Characters>
  <Application>Microsoft Office Word</Application>
  <DocSecurity>0</DocSecurity>
  <Lines>518</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5</cp:revision>
  <cp:lastPrinted>2019-02-22T13:28:00Z</cp:lastPrinted>
  <dcterms:created xsi:type="dcterms:W3CDTF">2024-12-18T13:18:00Z</dcterms:created>
  <dcterms:modified xsi:type="dcterms:W3CDTF">2024-12-19T07:10:00Z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